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602207">
      <w:pPr>
        <w:pBdr>
          <w:top w:val="none" w:color="000000" w:sz="0" w:space="0"/>
          <w:left w:val="none" w:color="000000" w:sz="0" w:space="0"/>
          <w:bottom w:val="none" w:color="000000" w:sz="0" w:space="0"/>
          <w:right w:val="none" w:color="000000" w:sz="0" w:space="0"/>
        </w:pBdr>
        <w:spacing w:after="0"/>
        <w:jc w:val="center"/>
        <w:rPr>
          <w:lang w:eastAsia="zh-CN"/>
        </w:rPr>
      </w:pPr>
      <w:bookmarkStart w:id="7" w:name="_GoBack"/>
      <w:r>
        <w:rPr>
          <w:rFonts w:ascii="黑体" w:hAnsi="黑体" w:eastAsia="黑体" w:cs="黑体"/>
          <w:b/>
          <w:color w:val="000000"/>
          <w:sz w:val="44"/>
          <w:lang w:eastAsia="zh-CN"/>
        </w:rPr>
        <w:t>采购需求</w:t>
      </w:r>
    </w:p>
    <w:bookmarkEnd w:id="7"/>
    <w:p w14:paraId="44007883">
      <w:pPr>
        <w:ind w:firstLine="560" w:firstLineChars="200"/>
        <w:rPr>
          <w:rFonts w:hint="eastAsia" w:ascii="方正仿宋_GBK" w:eastAsia="方正仿宋_GBK"/>
          <w:sz w:val="28"/>
          <w:szCs w:val="28"/>
        </w:rPr>
      </w:pPr>
      <w:r>
        <w:rPr>
          <w:rFonts w:hint="eastAsia" w:ascii="方正仿宋_GBK" w:eastAsia="方正仿宋_GBK"/>
          <w:sz w:val="28"/>
          <w:szCs w:val="28"/>
          <w:lang w:val="en-US" w:eastAsia="zh-CN"/>
        </w:rPr>
        <w:t>一、</w:t>
      </w:r>
      <w:r>
        <w:rPr>
          <w:rFonts w:hint="eastAsia" w:ascii="方正仿宋_GBK" w:eastAsia="方正仿宋_GBK"/>
          <w:b/>
          <w:bCs/>
          <w:sz w:val="28"/>
          <w:szCs w:val="28"/>
        </w:rPr>
        <w:t>项目名称</w:t>
      </w:r>
      <w:r>
        <w:rPr>
          <w:rFonts w:hint="eastAsia" w:ascii="方正仿宋_GBK" w:eastAsia="方正仿宋_GBK"/>
          <w:sz w:val="28"/>
          <w:szCs w:val="28"/>
        </w:rPr>
        <w:t>：扬州市民卡有限责任公司“一码通行”—车载机软件升级改造服务项目</w:t>
      </w:r>
    </w:p>
    <w:p w14:paraId="51B2F877">
      <w:pPr>
        <w:ind w:firstLine="562" w:firstLineChars="200"/>
        <w:rPr>
          <w:rFonts w:ascii="方正仿宋_GBK" w:eastAsia="方正仿宋_GBK"/>
          <w:b/>
          <w:sz w:val="28"/>
          <w:szCs w:val="28"/>
        </w:rPr>
      </w:pPr>
      <w:r>
        <w:rPr>
          <w:rFonts w:hint="eastAsia" w:ascii="方正仿宋_GBK" w:eastAsia="方正仿宋_GBK"/>
          <w:b/>
          <w:sz w:val="28"/>
          <w:szCs w:val="28"/>
          <w:lang w:val="en-US" w:eastAsia="zh-CN"/>
        </w:rPr>
        <w:t>二</w:t>
      </w:r>
      <w:r>
        <w:rPr>
          <w:rFonts w:hint="eastAsia" w:ascii="方正仿宋_GBK" w:eastAsia="方正仿宋_GBK"/>
          <w:b/>
          <w:sz w:val="28"/>
          <w:szCs w:val="28"/>
        </w:rPr>
        <w:t>、项目背景</w:t>
      </w:r>
    </w:p>
    <w:p w14:paraId="50CDC964">
      <w:pPr>
        <w:ind w:firstLine="560" w:firstLineChars="200"/>
        <w:rPr>
          <w:rFonts w:ascii="方正仿宋_GBK" w:eastAsia="方正仿宋_GBK"/>
          <w:sz w:val="28"/>
          <w:szCs w:val="28"/>
        </w:rPr>
      </w:pPr>
      <w:r>
        <w:rPr>
          <w:rFonts w:hint="eastAsia" w:ascii="方正仿宋_GBK" w:eastAsia="方正仿宋_GBK"/>
          <w:sz w:val="28"/>
          <w:szCs w:val="28"/>
        </w:rPr>
        <w:t>江苏省交通运输厅于2024年3月8日发布了《</w:t>
      </w:r>
      <w:r>
        <w:rPr>
          <w:rFonts w:ascii="方正仿宋_GBK" w:eastAsia="方正仿宋_GBK"/>
          <w:sz w:val="28"/>
          <w:szCs w:val="28"/>
        </w:rPr>
        <w:t>关于开展城市公共交通数据采集工作的通知</w:t>
      </w:r>
      <w:r>
        <w:rPr>
          <w:rFonts w:hint="eastAsia" w:ascii="方正仿宋_GBK" w:eastAsia="方正仿宋_GBK"/>
          <w:sz w:val="28"/>
          <w:szCs w:val="28"/>
        </w:rPr>
        <w:t>》，通知中指出</w:t>
      </w:r>
      <w:r>
        <w:rPr>
          <w:rFonts w:ascii="方正仿宋_GBK" w:eastAsia="方正仿宋_GBK"/>
          <w:sz w:val="28"/>
          <w:szCs w:val="28"/>
        </w:rPr>
        <w:t>拟对城市公共交通部分数据进行采集。请各地交通运输主管部门督促本辖区相关部门将交易数据、运营线路数据、车辆数据和车辆实时运营数据进行上传，于6月1日前完成数据采集，并将采集工作作为常态化事项开展。</w:t>
      </w:r>
    </w:p>
    <w:p w14:paraId="1FF44095">
      <w:pPr>
        <w:ind w:firstLine="560" w:firstLineChars="200"/>
        <w:rPr>
          <w:rFonts w:ascii="方正仿宋_GBK" w:eastAsia="方正仿宋_GBK"/>
          <w:sz w:val="28"/>
          <w:szCs w:val="28"/>
        </w:rPr>
      </w:pPr>
      <w:r>
        <w:rPr>
          <w:rFonts w:hint="eastAsia" w:ascii="方正仿宋_GBK" w:eastAsia="方正仿宋_GBK"/>
          <w:sz w:val="28"/>
          <w:szCs w:val="28"/>
        </w:rPr>
        <w:t>3月11日发布了《</w:t>
      </w:r>
      <w:r>
        <w:rPr>
          <w:rFonts w:ascii="方正仿宋_GBK" w:eastAsia="方正仿宋_GBK"/>
          <w:sz w:val="28"/>
          <w:szCs w:val="28"/>
        </w:rPr>
        <w:t>关于印发江苏省交通领域“一码通行”实施方案（2024—2025年）的通知</w:t>
      </w:r>
      <w:r>
        <w:rPr>
          <w:rFonts w:hint="eastAsia" w:ascii="方正仿宋_GBK" w:eastAsia="方正仿宋_GBK"/>
          <w:sz w:val="28"/>
          <w:szCs w:val="28"/>
        </w:rPr>
        <w:t>》，通知要求</w:t>
      </w:r>
      <w:r>
        <w:rPr>
          <w:rFonts w:ascii="方正仿宋_GBK" w:eastAsia="方正仿宋_GBK"/>
          <w:sz w:val="28"/>
          <w:szCs w:val="28"/>
        </w:rPr>
        <w:t>2024年8月至12月底，完成全省公交领域和无锡、南通地铁领域“一码通行”（以下简称部标码），启动并完成与上海以及浙江、安徽省部分城市“一码通行”互联互通试点工作，实现省交通一卡通平台功能模块进一步优化。</w:t>
      </w:r>
    </w:p>
    <w:p w14:paraId="72D24A84">
      <w:pPr>
        <w:rPr>
          <w:rFonts w:ascii="方正仿宋_GBK" w:eastAsia="方正仿宋_GBK"/>
          <w:b/>
          <w:sz w:val="28"/>
          <w:szCs w:val="28"/>
        </w:rPr>
      </w:pPr>
      <w:r>
        <w:rPr>
          <w:rFonts w:hint="eastAsia" w:ascii="方正仿宋_GBK" w:eastAsia="方正仿宋_GBK"/>
          <w:b/>
          <w:sz w:val="28"/>
          <w:szCs w:val="28"/>
          <w:lang w:val="en-US" w:eastAsia="zh-CN"/>
        </w:rPr>
        <w:t>三</w:t>
      </w:r>
      <w:r>
        <w:rPr>
          <w:rFonts w:hint="eastAsia" w:ascii="方正仿宋_GBK" w:eastAsia="方正仿宋_GBK"/>
          <w:b/>
          <w:sz w:val="28"/>
          <w:szCs w:val="28"/>
        </w:rPr>
        <w:t>、现状</w:t>
      </w:r>
    </w:p>
    <w:p w14:paraId="4B03F623">
      <w:pPr>
        <w:ind w:firstLine="560" w:firstLineChars="200"/>
        <w:rPr>
          <w:rFonts w:hint="eastAsia" w:ascii="方正仿宋_GBK" w:eastAsia="方正仿宋_GBK"/>
          <w:sz w:val="28"/>
          <w:szCs w:val="28"/>
        </w:rPr>
      </w:pPr>
      <w:r>
        <w:rPr>
          <w:rFonts w:hint="eastAsia" w:ascii="方正仿宋_GBK" w:eastAsia="方正仿宋_GBK"/>
          <w:sz w:val="28"/>
          <w:szCs w:val="28"/>
        </w:rPr>
        <w:t>扬州目前使用的是市民卡公司自有码，包含码平台、后端账户系统、清结算系统等，另对外输出给建设银行、江苏银行、支付宝等第三方企业，该码只能扬州本地使用。</w:t>
      </w:r>
    </w:p>
    <w:p w14:paraId="53E23FD1">
      <w:pPr>
        <w:ind w:firstLine="560" w:firstLineChars="200"/>
        <w:rPr>
          <w:rFonts w:hint="eastAsia" w:ascii="方正仿宋_GBK" w:eastAsia="方正仿宋_GBK"/>
          <w:sz w:val="28"/>
          <w:szCs w:val="28"/>
        </w:rPr>
      </w:pPr>
      <w:r>
        <w:rPr>
          <w:rFonts w:hint="eastAsia" w:ascii="方正仿宋_GBK" w:eastAsia="方正仿宋_GBK"/>
          <w:sz w:val="28"/>
          <w:szCs w:val="28"/>
        </w:rPr>
        <w:t>根据江苏省交通运输厅要求，需要对现有系统进行升级改造。升级改造后要求兼容原有系统应用，支持部标码应用及完成城市公共交通部分数据上传工作。</w:t>
      </w:r>
    </w:p>
    <w:p w14:paraId="386ADFA4">
      <w:pPr>
        <w:ind w:firstLine="560" w:firstLineChars="200"/>
        <w:rPr>
          <w:rFonts w:hint="eastAsia" w:ascii="方正仿宋_GBK" w:eastAsia="方正仿宋_GBK"/>
          <w:b/>
          <w:sz w:val="28"/>
          <w:szCs w:val="28"/>
        </w:rPr>
      </w:pPr>
      <w:r>
        <w:rPr>
          <w:rFonts w:hint="eastAsia" w:ascii="方正仿宋_GBK" w:eastAsia="方正仿宋_GBK"/>
          <w:sz w:val="28"/>
          <w:szCs w:val="28"/>
        </w:rPr>
        <w:t>本次是</w:t>
      </w:r>
      <w:r>
        <w:rPr>
          <w:rFonts w:ascii="方正仿宋_GBK" w:eastAsia="方正仿宋_GBK"/>
          <w:sz w:val="28"/>
          <w:szCs w:val="28"/>
        </w:rPr>
        <w:t>针对此次省厅要求，对涉及的车载机相关软件及系统部分改造进行的服务采购。</w:t>
      </w:r>
    </w:p>
    <w:p w14:paraId="74B30CBF">
      <w:pPr>
        <w:rPr>
          <w:rFonts w:hint="eastAsia" w:ascii="方正仿宋_GBK" w:eastAsia="方正仿宋_GBK"/>
          <w:b/>
          <w:sz w:val="28"/>
          <w:szCs w:val="28"/>
        </w:rPr>
      </w:pPr>
      <w:r>
        <w:rPr>
          <w:rFonts w:hint="eastAsia" w:ascii="方正仿宋_GBK" w:eastAsia="方正仿宋_GBK"/>
          <w:b/>
          <w:sz w:val="28"/>
          <w:szCs w:val="28"/>
          <w:lang w:val="en-US" w:eastAsia="zh-CN"/>
        </w:rPr>
        <w:t>四</w:t>
      </w:r>
      <w:r>
        <w:rPr>
          <w:rFonts w:hint="eastAsia" w:ascii="方正仿宋_GBK" w:eastAsia="方正仿宋_GBK"/>
          <w:b/>
          <w:sz w:val="28"/>
          <w:szCs w:val="28"/>
        </w:rPr>
        <w:t>、采购清单</w:t>
      </w:r>
    </w:p>
    <w:tbl>
      <w:tblPr>
        <w:tblStyle w:val="6"/>
        <w:tblW w:w="9796" w:type="dxa"/>
        <w:tblInd w:w="-737" w:type="dxa"/>
        <w:tblLayout w:type="fixed"/>
        <w:tblCellMar>
          <w:top w:w="0" w:type="dxa"/>
          <w:left w:w="108" w:type="dxa"/>
          <w:bottom w:w="0" w:type="dxa"/>
          <w:right w:w="108" w:type="dxa"/>
        </w:tblCellMar>
      </w:tblPr>
      <w:tblGrid>
        <w:gridCol w:w="987"/>
        <w:gridCol w:w="2005"/>
        <w:gridCol w:w="5954"/>
        <w:gridCol w:w="850"/>
      </w:tblGrid>
      <w:tr w14:paraId="4F5E0DF1">
        <w:tblPrEx>
          <w:tblCellMar>
            <w:top w:w="0" w:type="dxa"/>
            <w:left w:w="108" w:type="dxa"/>
            <w:bottom w:w="0" w:type="dxa"/>
            <w:right w:w="108" w:type="dxa"/>
          </w:tblCellMar>
        </w:tblPrEx>
        <w:trPr>
          <w:trHeight w:val="480" w:hRule="atLeast"/>
        </w:trPr>
        <w:tc>
          <w:tcPr>
            <w:tcW w:w="987" w:type="dxa"/>
            <w:tcBorders>
              <w:top w:val="nil"/>
              <w:left w:val="single" w:color="auto" w:sz="4" w:space="0"/>
              <w:bottom w:val="single" w:color="auto" w:sz="4" w:space="0"/>
              <w:right w:val="single" w:color="auto" w:sz="4" w:space="0"/>
            </w:tcBorders>
            <w:shd w:val="clear" w:color="000000" w:fill="969696"/>
            <w:noWrap/>
            <w:vAlign w:val="bottom"/>
          </w:tcPr>
          <w:p w14:paraId="36FDC60D">
            <w:pPr>
              <w:widowControl/>
              <w:jc w:val="center"/>
              <w:rPr>
                <w:rFonts w:hint="eastAsia" w:ascii="方正仿宋_GBK" w:hAnsi="宋体" w:eastAsia="方正仿宋_GBK" w:cs="Times New Roman"/>
                <w:kern w:val="0"/>
                <w:sz w:val="28"/>
                <w:szCs w:val="28"/>
              </w:rPr>
            </w:pPr>
            <w:r>
              <w:rPr>
                <w:rFonts w:hint="eastAsia" w:ascii="方正仿宋_GBK" w:hAnsi="宋体" w:eastAsia="方正仿宋_GBK" w:cs="Times New Roman"/>
                <w:kern w:val="0"/>
                <w:sz w:val="28"/>
                <w:szCs w:val="28"/>
              </w:rPr>
              <w:t>序号</w:t>
            </w:r>
          </w:p>
        </w:tc>
        <w:tc>
          <w:tcPr>
            <w:tcW w:w="2005" w:type="dxa"/>
            <w:tcBorders>
              <w:top w:val="nil"/>
              <w:left w:val="nil"/>
              <w:bottom w:val="single" w:color="auto" w:sz="4" w:space="0"/>
              <w:right w:val="single" w:color="auto" w:sz="4" w:space="0"/>
            </w:tcBorders>
            <w:shd w:val="clear" w:color="000000" w:fill="969696"/>
            <w:noWrap/>
            <w:vAlign w:val="bottom"/>
          </w:tcPr>
          <w:p w14:paraId="7EB9BA93">
            <w:pPr>
              <w:widowControl/>
              <w:jc w:val="center"/>
              <w:rPr>
                <w:rFonts w:hint="eastAsia" w:ascii="方正仿宋_GBK" w:hAnsi="宋体" w:eastAsia="方正仿宋_GBK" w:cs="宋体"/>
                <w:kern w:val="0"/>
                <w:sz w:val="28"/>
                <w:szCs w:val="28"/>
              </w:rPr>
            </w:pPr>
            <w:r>
              <w:rPr>
                <w:rFonts w:hint="eastAsia" w:ascii="方正仿宋_GBK" w:hAnsi="宋体" w:eastAsia="方正仿宋_GBK" w:cs="宋体"/>
                <w:kern w:val="0"/>
                <w:sz w:val="28"/>
                <w:szCs w:val="28"/>
              </w:rPr>
              <w:t>产品名称</w:t>
            </w:r>
          </w:p>
        </w:tc>
        <w:tc>
          <w:tcPr>
            <w:tcW w:w="5954" w:type="dxa"/>
            <w:tcBorders>
              <w:top w:val="nil"/>
              <w:left w:val="nil"/>
              <w:bottom w:val="single" w:color="auto" w:sz="4" w:space="0"/>
              <w:right w:val="single" w:color="auto" w:sz="4" w:space="0"/>
            </w:tcBorders>
            <w:shd w:val="clear" w:color="000000" w:fill="969696"/>
            <w:noWrap/>
            <w:vAlign w:val="bottom"/>
          </w:tcPr>
          <w:p w14:paraId="17B88BFB">
            <w:pPr>
              <w:widowControl/>
              <w:jc w:val="center"/>
              <w:rPr>
                <w:rFonts w:hint="eastAsia" w:ascii="方正仿宋_GBK" w:hAnsi="宋体" w:eastAsia="方正仿宋_GBK" w:cs="Times New Roman"/>
                <w:kern w:val="0"/>
                <w:sz w:val="28"/>
                <w:szCs w:val="28"/>
              </w:rPr>
            </w:pPr>
            <w:r>
              <w:rPr>
                <w:rFonts w:hint="eastAsia" w:ascii="方正仿宋_GBK" w:hAnsi="宋体" w:eastAsia="方正仿宋_GBK" w:cs="Times New Roman"/>
                <w:kern w:val="0"/>
                <w:sz w:val="28"/>
                <w:szCs w:val="28"/>
              </w:rPr>
              <w:t>产品型号及配置</w:t>
            </w:r>
          </w:p>
        </w:tc>
        <w:tc>
          <w:tcPr>
            <w:tcW w:w="850" w:type="dxa"/>
            <w:tcBorders>
              <w:top w:val="nil"/>
              <w:left w:val="nil"/>
              <w:bottom w:val="single" w:color="auto" w:sz="4" w:space="0"/>
              <w:right w:val="single" w:color="auto" w:sz="4" w:space="0"/>
            </w:tcBorders>
            <w:shd w:val="clear" w:color="000000" w:fill="969696"/>
            <w:vAlign w:val="bottom"/>
          </w:tcPr>
          <w:p w14:paraId="3EE044B9">
            <w:pPr>
              <w:widowControl/>
              <w:jc w:val="center"/>
              <w:rPr>
                <w:rFonts w:hint="eastAsia" w:ascii="方正仿宋_GBK" w:hAnsi="宋体" w:eastAsia="方正仿宋_GBK" w:cs="Times New Roman"/>
                <w:kern w:val="0"/>
                <w:sz w:val="28"/>
                <w:szCs w:val="28"/>
              </w:rPr>
            </w:pPr>
            <w:r>
              <w:rPr>
                <w:rFonts w:hint="eastAsia" w:ascii="方正仿宋_GBK" w:hAnsi="宋体" w:eastAsia="方正仿宋_GBK" w:cs="Times New Roman"/>
                <w:kern w:val="0"/>
                <w:sz w:val="28"/>
                <w:szCs w:val="28"/>
              </w:rPr>
              <w:t>数量</w:t>
            </w:r>
          </w:p>
        </w:tc>
      </w:tr>
      <w:tr w14:paraId="560DA6BF">
        <w:tblPrEx>
          <w:tblCellMar>
            <w:top w:w="0" w:type="dxa"/>
            <w:left w:w="108" w:type="dxa"/>
            <w:bottom w:w="0" w:type="dxa"/>
            <w:right w:w="108" w:type="dxa"/>
          </w:tblCellMar>
        </w:tblPrEx>
        <w:trPr>
          <w:trHeight w:val="868" w:hRule="atLeast"/>
        </w:trPr>
        <w:tc>
          <w:tcPr>
            <w:tcW w:w="987" w:type="dxa"/>
            <w:tcBorders>
              <w:top w:val="nil"/>
              <w:left w:val="single" w:color="auto" w:sz="4" w:space="0"/>
              <w:bottom w:val="single" w:color="auto" w:sz="4" w:space="0"/>
              <w:right w:val="single" w:color="auto" w:sz="4" w:space="0"/>
            </w:tcBorders>
            <w:noWrap/>
            <w:vAlign w:val="center"/>
          </w:tcPr>
          <w:p w14:paraId="042B4ECB">
            <w:pPr>
              <w:widowControl/>
              <w:jc w:val="center"/>
              <w:rPr>
                <w:rFonts w:hint="eastAsia" w:ascii="方正仿宋_GBK" w:hAnsi="宋体" w:eastAsia="方正仿宋_GBK" w:cs="Times New Roman"/>
                <w:kern w:val="0"/>
                <w:sz w:val="28"/>
                <w:szCs w:val="28"/>
              </w:rPr>
            </w:pPr>
            <w:r>
              <w:rPr>
                <w:rFonts w:hint="eastAsia" w:ascii="方正仿宋_GBK" w:hAnsi="宋体" w:eastAsia="方正仿宋_GBK" w:cs="Times New Roman"/>
                <w:kern w:val="0"/>
                <w:sz w:val="28"/>
                <w:szCs w:val="28"/>
              </w:rPr>
              <w:t>1</w:t>
            </w:r>
          </w:p>
        </w:tc>
        <w:tc>
          <w:tcPr>
            <w:tcW w:w="2005" w:type="dxa"/>
            <w:tcBorders>
              <w:top w:val="nil"/>
              <w:left w:val="nil"/>
              <w:bottom w:val="single" w:color="auto" w:sz="4" w:space="0"/>
              <w:right w:val="single" w:color="auto" w:sz="4" w:space="0"/>
            </w:tcBorders>
            <w:vAlign w:val="center"/>
          </w:tcPr>
          <w:p w14:paraId="59BC552B">
            <w:pPr>
              <w:widowControl/>
              <w:jc w:val="left"/>
              <w:rPr>
                <w:rFonts w:hint="eastAsia" w:ascii="方正仿宋_GBK" w:hAnsi="宋体" w:eastAsia="方正仿宋_GBK" w:cs="宋体"/>
                <w:kern w:val="0"/>
                <w:sz w:val="28"/>
                <w:szCs w:val="28"/>
              </w:rPr>
            </w:pPr>
            <w:r>
              <w:rPr>
                <w:rFonts w:hint="eastAsia" w:ascii="方正仿宋_GBK" w:hAnsi="宋体" w:eastAsia="方正仿宋_GBK" w:cs="宋体"/>
                <w:kern w:val="0"/>
                <w:sz w:val="28"/>
                <w:szCs w:val="28"/>
              </w:rPr>
              <w:t>IC卡系统软件升级</w:t>
            </w:r>
          </w:p>
        </w:tc>
        <w:tc>
          <w:tcPr>
            <w:tcW w:w="5954" w:type="dxa"/>
            <w:tcBorders>
              <w:top w:val="nil"/>
              <w:left w:val="nil"/>
              <w:bottom w:val="single" w:color="auto" w:sz="4" w:space="0"/>
              <w:right w:val="single" w:color="auto" w:sz="4" w:space="0"/>
            </w:tcBorders>
            <w:vAlign w:val="center"/>
          </w:tcPr>
          <w:p w14:paraId="581A1AD4">
            <w:pPr>
              <w:widowControl/>
              <w:jc w:val="left"/>
              <w:rPr>
                <w:rFonts w:hint="eastAsia" w:ascii="方正仿宋_GBK" w:hAnsi="宋体" w:eastAsia="方正仿宋_GBK" w:cs="宋体"/>
                <w:kern w:val="0"/>
                <w:sz w:val="28"/>
                <w:szCs w:val="28"/>
              </w:rPr>
            </w:pPr>
            <w:r>
              <w:rPr>
                <w:rFonts w:hint="eastAsia" w:ascii="方正仿宋_GBK" w:hAnsi="宋体" w:eastAsia="方正仿宋_GBK" w:cs="宋体"/>
                <w:kern w:val="0"/>
                <w:sz w:val="28"/>
                <w:szCs w:val="28"/>
              </w:rPr>
              <w:t>C/S升级B/S；原有系统升级；符合部标要求；市民卡兼容；调整优化清结算系统（具体系统功能详见需求书）</w:t>
            </w:r>
          </w:p>
        </w:tc>
        <w:tc>
          <w:tcPr>
            <w:tcW w:w="850" w:type="dxa"/>
            <w:tcBorders>
              <w:top w:val="nil"/>
              <w:left w:val="nil"/>
              <w:bottom w:val="single" w:color="auto" w:sz="4" w:space="0"/>
              <w:right w:val="single" w:color="auto" w:sz="4" w:space="0"/>
            </w:tcBorders>
            <w:vAlign w:val="center"/>
          </w:tcPr>
          <w:p w14:paraId="36E225BA">
            <w:pPr>
              <w:widowControl/>
              <w:jc w:val="left"/>
              <w:rPr>
                <w:rFonts w:hint="eastAsia" w:ascii="方正仿宋_GBK" w:hAnsi="宋体" w:eastAsia="方正仿宋_GBK" w:cs="宋体"/>
                <w:kern w:val="0"/>
                <w:sz w:val="28"/>
                <w:szCs w:val="28"/>
              </w:rPr>
            </w:pPr>
            <w:r>
              <w:rPr>
                <w:rFonts w:hint="eastAsia" w:ascii="方正仿宋_GBK" w:hAnsi="宋体" w:eastAsia="方正仿宋_GBK" w:cs="宋体"/>
                <w:kern w:val="0"/>
                <w:sz w:val="28"/>
                <w:szCs w:val="28"/>
              </w:rPr>
              <w:t>1套</w:t>
            </w:r>
          </w:p>
        </w:tc>
      </w:tr>
      <w:tr w14:paraId="4CA6AD2B">
        <w:tblPrEx>
          <w:tblCellMar>
            <w:top w:w="0" w:type="dxa"/>
            <w:left w:w="108" w:type="dxa"/>
            <w:bottom w:w="0" w:type="dxa"/>
            <w:right w:w="108" w:type="dxa"/>
          </w:tblCellMar>
        </w:tblPrEx>
        <w:trPr>
          <w:trHeight w:val="684" w:hRule="atLeast"/>
        </w:trPr>
        <w:tc>
          <w:tcPr>
            <w:tcW w:w="987" w:type="dxa"/>
            <w:tcBorders>
              <w:top w:val="nil"/>
              <w:left w:val="single" w:color="auto" w:sz="4" w:space="0"/>
              <w:bottom w:val="single" w:color="auto" w:sz="4" w:space="0"/>
              <w:right w:val="single" w:color="auto" w:sz="4" w:space="0"/>
            </w:tcBorders>
            <w:noWrap/>
            <w:vAlign w:val="center"/>
          </w:tcPr>
          <w:p w14:paraId="187F2DD9">
            <w:pPr>
              <w:widowControl/>
              <w:jc w:val="center"/>
              <w:rPr>
                <w:rFonts w:hint="eastAsia" w:ascii="方正仿宋_GBK" w:hAnsi="宋体" w:eastAsia="方正仿宋_GBK" w:cs="Times New Roman"/>
                <w:kern w:val="0"/>
                <w:sz w:val="28"/>
                <w:szCs w:val="28"/>
              </w:rPr>
            </w:pPr>
            <w:r>
              <w:rPr>
                <w:rFonts w:hint="eastAsia" w:ascii="方正仿宋_GBK" w:hAnsi="宋体" w:eastAsia="方正仿宋_GBK" w:cs="Times New Roman"/>
                <w:kern w:val="0"/>
                <w:sz w:val="28"/>
                <w:szCs w:val="28"/>
              </w:rPr>
              <w:t>2</w:t>
            </w:r>
          </w:p>
        </w:tc>
        <w:tc>
          <w:tcPr>
            <w:tcW w:w="2005" w:type="dxa"/>
            <w:tcBorders>
              <w:top w:val="nil"/>
              <w:left w:val="nil"/>
              <w:bottom w:val="single" w:color="auto" w:sz="4" w:space="0"/>
              <w:right w:val="single" w:color="auto" w:sz="4" w:space="0"/>
            </w:tcBorders>
            <w:vAlign w:val="center"/>
          </w:tcPr>
          <w:p w14:paraId="61F79A84">
            <w:pPr>
              <w:widowControl/>
              <w:jc w:val="left"/>
              <w:rPr>
                <w:rFonts w:hint="eastAsia" w:ascii="方正仿宋_GBK" w:hAnsi="宋体" w:eastAsia="方正仿宋_GBK" w:cs="宋体"/>
                <w:kern w:val="0"/>
                <w:sz w:val="28"/>
                <w:szCs w:val="28"/>
              </w:rPr>
            </w:pPr>
            <w:r>
              <w:rPr>
                <w:rFonts w:hint="eastAsia" w:ascii="方正仿宋_GBK" w:hAnsi="宋体" w:eastAsia="方正仿宋_GBK" w:cs="宋体"/>
                <w:kern w:val="0"/>
                <w:sz w:val="28"/>
                <w:szCs w:val="28"/>
              </w:rPr>
              <w:t>数据传输</w:t>
            </w:r>
          </w:p>
        </w:tc>
        <w:tc>
          <w:tcPr>
            <w:tcW w:w="5954" w:type="dxa"/>
            <w:tcBorders>
              <w:top w:val="nil"/>
              <w:left w:val="nil"/>
              <w:bottom w:val="single" w:color="auto" w:sz="4" w:space="0"/>
              <w:right w:val="single" w:color="auto" w:sz="4" w:space="0"/>
            </w:tcBorders>
            <w:vAlign w:val="center"/>
          </w:tcPr>
          <w:p w14:paraId="11651B9D">
            <w:pPr>
              <w:rPr>
                <w:rFonts w:hint="eastAsia" w:ascii="方正仿宋_GBK" w:hAnsi="宋体" w:eastAsia="方正仿宋_GBK" w:cs="宋体"/>
                <w:kern w:val="0"/>
                <w:sz w:val="28"/>
                <w:szCs w:val="28"/>
              </w:rPr>
            </w:pPr>
            <w:r>
              <w:rPr>
                <w:rFonts w:hint="eastAsia" w:ascii="方正仿宋_GBK" w:hAnsi="宋体" w:eastAsia="方正仿宋_GBK" w:cs="宋体"/>
                <w:kern w:val="0"/>
                <w:sz w:val="28"/>
                <w:szCs w:val="28"/>
              </w:rPr>
              <w:t>保持现有文件格式及传输方式不变，新增部标数据传输规则</w:t>
            </w:r>
          </w:p>
        </w:tc>
        <w:tc>
          <w:tcPr>
            <w:tcW w:w="850" w:type="dxa"/>
            <w:tcBorders>
              <w:top w:val="nil"/>
              <w:left w:val="nil"/>
              <w:bottom w:val="single" w:color="auto" w:sz="4" w:space="0"/>
              <w:right w:val="single" w:color="auto" w:sz="4" w:space="0"/>
            </w:tcBorders>
            <w:vAlign w:val="center"/>
          </w:tcPr>
          <w:p w14:paraId="5A850CDB">
            <w:pPr>
              <w:widowControl/>
              <w:jc w:val="left"/>
              <w:rPr>
                <w:rFonts w:hint="eastAsia" w:ascii="方正仿宋_GBK" w:hAnsi="宋体" w:eastAsia="方正仿宋_GBK" w:cs="宋体"/>
                <w:kern w:val="0"/>
                <w:sz w:val="28"/>
                <w:szCs w:val="28"/>
              </w:rPr>
            </w:pPr>
          </w:p>
        </w:tc>
      </w:tr>
      <w:tr w14:paraId="163B92C7">
        <w:tblPrEx>
          <w:tblCellMar>
            <w:top w:w="0" w:type="dxa"/>
            <w:left w:w="108" w:type="dxa"/>
            <w:bottom w:w="0" w:type="dxa"/>
            <w:right w:w="108" w:type="dxa"/>
          </w:tblCellMar>
        </w:tblPrEx>
        <w:trPr>
          <w:trHeight w:val="484" w:hRule="atLeast"/>
        </w:trPr>
        <w:tc>
          <w:tcPr>
            <w:tcW w:w="987" w:type="dxa"/>
            <w:tcBorders>
              <w:top w:val="single" w:color="auto" w:sz="4" w:space="0"/>
              <w:left w:val="single" w:color="auto" w:sz="4" w:space="0"/>
              <w:bottom w:val="single" w:color="auto" w:sz="4" w:space="0"/>
              <w:right w:val="single" w:color="auto" w:sz="4" w:space="0"/>
            </w:tcBorders>
            <w:noWrap/>
            <w:vAlign w:val="center"/>
          </w:tcPr>
          <w:p w14:paraId="7147CD97">
            <w:pPr>
              <w:jc w:val="center"/>
              <w:rPr>
                <w:rFonts w:hint="eastAsia" w:ascii="方正仿宋_GBK" w:hAnsi="宋体" w:eastAsia="方正仿宋_GBK" w:cs="Times New Roman"/>
                <w:kern w:val="0"/>
                <w:sz w:val="28"/>
                <w:szCs w:val="28"/>
              </w:rPr>
            </w:pPr>
            <w:r>
              <w:rPr>
                <w:rFonts w:hint="eastAsia" w:ascii="方正仿宋_GBK" w:hAnsi="宋体" w:eastAsia="方正仿宋_GBK" w:cs="Times New Roman"/>
                <w:kern w:val="0"/>
                <w:sz w:val="28"/>
                <w:szCs w:val="28"/>
              </w:rPr>
              <w:t>3</w:t>
            </w:r>
          </w:p>
        </w:tc>
        <w:tc>
          <w:tcPr>
            <w:tcW w:w="2005" w:type="dxa"/>
            <w:tcBorders>
              <w:top w:val="single" w:color="auto" w:sz="4" w:space="0"/>
              <w:left w:val="nil"/>
              <w:bottom w:val="single" w:color="auto" w:sz="4" w:space="0"/>
              <w:right w:val="single" w:color="auto" w:sz="4" w:space="0"/>
            </w:tcBorders>
            <w:vAlign w:val="center"/>
          </w:tcPr>
          <w:p w14:paraId="1F7E982D">
            <w:pPr>
              <w:widowControl/>
              <w:jc w:val="left"/>
              <w:rPr>
                <w:rFonts w:hint="eastAsia" w:ascii="方正仿宋_GBK" w:hAnsi="宋体" w:eastAsia="方正仿宋_GBK" w:cs="宋体"/>
                <w:kern w:val="0"/>
                <w:sz w:val="28"/>
                <w:szCs w:val="28"/>
              </w:rPr>
            </w:pPr>
            <w:r>
              <w:rPr>
                <w:rFonts w:hint="eastAsia" w:ascii="方正仿宋_GBK" w:hAnsi="宋体" w:eastAsia="方正仿宋_GBK" w:cs="宋体"/>
                <w:kern w:val="0"/>
                <w:sz w:val="28"/>
                <w:szCs w:val="28"/>
              </w:rPr>
              <w:t>车载机软件升级</w:t>
            </w:r>
          </w:p>
        </w:tc>
        <w:tc>
          <w:tcPr>
            <w:tcW w:w="5954" w:type="dxa"/>
            <w:tcBorders>
              <w:top w:val="single" w:color="auto" w:sz="4" w:space="0"/>
              <w:left w:val="nil"/>
              <w:bottom w:val="single" w:color="auto" w:sz="4" w:space="0"/>
              <w:right w:val="single" w:color="auto" w:sz="4" w:space="0"/>
            </w:tcBorders>
            <w:vAlign w:val="center"/>
          </w:tcPr>
          <w:p w14:paraId="317D1F6D">
            <w:pPr>
              <w:widowControl/>
              <w:jc w:val="left"/>
              <w:rPr>
                <w:rFonts w:hint="eastAsia" w:ascii="方正仿宋_GBK" w:hAnsi="宋体" w:eastAsia="方正仿宋_GBK" w:cs="宋体"/>
                <w:kern w:val="0"/>
                <w:sz w:val="28"/>
                <w:szCs w:val="28"/>
              </w:rPr>
            </w:pPr>
            <w:r>
              <w:rPr>
                <w:rFonts w:hint="eastAsia" w:ascii="方正仿宋_GBK" w:hAnsi="宋体" w:eastAsia="方正仿宋_GBK" w:cs="宋体"/>
                <w:kern w:val="0"/>
                <w:sz w:val="28"/>
                <w:szCs w:val="28"/>
              </w:rPr>
              <w:t>部标码识别，优化扫码结果上传机制，打黑记录上传</w:t>
            </w:r>
          </w:p>
        </w:tc>
        <w:tc>
          <w:tcPr>
            <w:tcW w:w="850" w:type="dxa"/>
            <w:tcBorders>
              <w:top w:val="single" w:color="auto" w:sz="4" w:space="0"/>
              <w:left w:val="nil"/>
              <w:bottom w:val="single" w:color="auto" w:sz="4" w:space="0"/>
              <w:right w:val="single" w:color="auto" w:sz="4" w:space="0"/>
            </w:tcBorders>
            <w:vAlign w:val="center"/>
          </w:tcPr>
          <w:p w14:paraId="116AACDF">
            <w:pPr>
              <w:widowControl/>
              <w:jc w:val="left"/>
              <w:rPr>
                <w:rFonts w:hint="eastAsia" w:ascii="方正仿宋_GBK" w:hAnsi="宋体" w:eastAsia="方正仿宋_GBK" w:cs="宋体"/>
                <w:kern w:val="0"/>
                <w:sz w:val="28"/>
                <w:szCs w:val="28"/>
              </w:rPr>
            </w:pPr>
            <w:r>
              <w:rPr>
                <w:rFonts w:hint="eastAsia" w:ascii="方正仿宋_GBK" w:hAnsi="宋体" w:eastAsia="方正仿宋_GBK" w:cs="宋体"/>
                <w:kern w:val="0"/>
                <w:sz w:val="28"/>
                <w:szCs w:val="28"/>
              </w:rPr>
              <w:t>1套</w:t>
            </w:r>
          </w:p>
        </w:tc>
      </w:tr>
    </w:tbl>
    <w:p w14:paraId="7CEDF92E">
      <w:pPr>
        <w:spacing w:line="360" w:lineRule="auto"/>
        <w:rPr>
          <w:rFonts w:hint="eastAsia" w:ascii="宋体" w:hAnsi="宋体" w:eastAsia="宋体" w:cs="宋体"/>
          <w:b/>
          <w:szCs w:val="21"/>
        </w:rPr>
      </w:pPr>
    </w:p>
    <w:p w14:paraId="7FC3D7D3">
      <w:pPr>
        <w:spacing w:line="360" w:lineRule="auto"/>
        <w:ind w:firstLine="281" w:firstLineChars="100"/>
        <w:rPr>
          <w:rFonts w:hint="eastAsia" w:ascii="方正仿宋_GBK" w:hAnsi="宋体" w:eastAsia="方正仿宋_GBK" w:cs="宋体"/>
          <w:b/>
          <w:sz w:val="28"/>
          <w:szCs w:val="28"/>
        </w:rPr>
      </w:pPr>
      <w:r>
        <w:rPr>
          <w:rFonts w:hint="eastAsia" w:ascii="方正仿宋_GBK" w:hAnsi="宋体" w:eastAsia="方正仿宋_GBK" w:cs="宋体"/>
          <w:b/>
          <w:sz w:val="28"/>
          <w:szCs w:val="28"/>
        </w:rPr>
        <w:t>1、IC卡系统软件升级</w:t>
      </w:r>
    </w:p>
    <w:p w14:paraId="2795CD1A">
      <w:pPr>
        <w:spacing w:line="360" w:lineRule="auto"/>
        <w:ind w:firstLine="280" w:firstLineChars="100"/>
        <w:rPr>
          <w:rFonts w:hint="eastAsia" w:ascii="方正仿宋_GBK" w:hAnsi="宋体" w:eastAsia="方正仿宋_GBK" w:cs="宋体"/>
          <w:sz w:val="28"/>
          <w:szCs w:val="28"/>
        </w:rPr>
      </w:pPr>
      <w:r>
        <w:rPr>
          <w:rFonts w:hint="eastAsia" w:ascii="方正仿宋_GBK" w:hAnsi="宋体" w:eastAsia="方正仿宋_GBK" w:cs="宋体"/>
          <w:sz w:val="28"/>
          <w:szCs w:val="28"/>
        </w:rPr>
        <w:t>1.1设备管理系统</w:t>
      </w:r>
    </w:p>
    <w:p w14:paraId="059172DB">
      <w:pPr>
        <w:spacing w:line="360" w:lineRule="auto"/>
        <w:ind w:firstLine="495" w:firstLineChars="177"/>
        <w:rPr>
          <w:rFonts w:hint="eastAsia" w:ascii="方正仿宋_GBK" w:hAnsi="宋体" w:eastAsia="方正仿宋_GBK" w:cs="宋体"/>
          <w:sz w:val="28"/>
          <w:szCs w:val="28"/>
        </w:rPr>
      </w:pPr>
      <w:r>
        <w:rPr>
          <w:rFonts w:hint="eastAsia" w:ascii="方正仿宋_GBK" w:hAnsi="宋体" w:eastAsia="方正仿宋_GBK" w:cs="宋体"/>
          <w:sz w:val="28"/>
          <w:szCs w:val="28"/>
        </w:rPr>
        <w:t>1）数据看板</w:t>
      </w:r>
    </w:p>
    <w:p w14:paraId="33A09550">
      <w:pPr>
        <w:spacing w:line="360" w:lineRule="auto"/>
        <w:ind w:firstLine="495" w:firstLineChars="177"/>
        <w:rPr>
          <w:rFonts w:hint="eastAsia" w:ascii="方正仿宋_GBK" w:hAnsi="Times New Roman" w:eastAsia="方正仿宋_GBK" w:cs="Times New Roman"/>
          <w:sz w:val="28"/>
          <w:szCs w:val="28"/>
        </w:rPr>
      </w:pPr>
      <w:r>
        <w:rPr>
          <w:rFonts w:hint="eastAsia" w:ascii="方正仿宋_GBK" w:hAnsi="Times New Roman" w:eastAsia="方正仿宋_GBK" w:cs="Times New Roman"/>
          <w:sz w:val="28"/>
          <w:szCs w:val="28"/>
        </w:rPr>
        <w:t>以图表的方式显示每天的乘车消费交易额，每种卡类型的交易额，总收入及总收入的分类展示。</w:t>
      </w:r>
    </w:p>
    <w:p w14:paraId="50B94815">
      <w:pPr>
        <w:spacing w:line="360" w:lineRule="auto"/>
        <w:ind w:firstLine="495" w:firstLineChars="177"/>
        <w:rPr>
          <w:rFonts w:hint="eastAsia" w:ascii="方正仿宋_GBK" w:hAnsi="宋体" w:eastAsia="方正仿宋_GBK" w:cs="宋体"/>
          <w:sz w:val="28"/>
          <w:szCs w:val="28"/>
        </w:rPr>
      </w:pPr>
      <w:r>
        <w:rPr>
          <w:rFonts w:hint="eastAsia" w:ascii="方正仿宋_GBK" w:hAnsi="宋体" w:eastAsia="方正仿宋_GBK" w:cs="宋体"/>
          <w:sz w:val="28"/>
          <w:szCs w:val="28"/>
        </w:rPr>
        <w:t>2</w:t>
      </w:r>
      <w:bookmarkStart w:id="0" w:name="_Toc162037026"/>
      <w:r>
        <w:rPr>
          <w:rFonts w:hint="eastAsia" w:ascii="方正仿宋_GBK" w:hAnsi="宋体" w:eastAsia="方正仿宋_GBK" w:cs="宋体"/>
          <w:sz w:val="28"/>
          <w:szCs w:val="28"/>
        </w:rPr>
        <w:t>）</w:t>
      </w:r>
      <w:r>
        <w:rPr>
          <w:rFonts w:hint="eastAsia" w:ascii="方正仿宋_GBK" w:hAnsi="Times New Roman" w:eastAsia="方正仿宋_GBK" w:cs="Times New Roman"/>
          <w:sz w:val="28"/>
          <w:szCs w:val="28"/>
        </w:rPr>
        <w:t>当日消费明细</w:t>
      </w:r>
      <w:bookmarkEnd w:id="0"/>
    </w:p>
    <w:p w14:paraId="1ABA3FD1">
      <w:pPr>
        <w:spacing w:line="360" w:lineRule="auto"/>
        <w:ind w:firstLine="495" w:firstLineChars="177"/>
        <w:rPr>
          <w:rFonts w:hint="eastAsia" w:ascii="方正仿宋_GBK" w:hAnsi="宋体" w:eastAsia="方正仿宋_GBK" w:cs="宋体"/>
          <w:sz w:val="28"/>
          <w:szCs w:val="28"/>
        </w:rPr>
      </w:pPr>
      <w:r>
        <w:rPr>
          <w:rFonts w:hint="eastAsia" w:ascii="方正仿宋_GBK" w:hAnsi="Times New Roman" w:eastAsia="方正仿宋_GBK" w:cs="Times New Roman"/>
          <w:sz w:val="28"/>
          <w:szCs w:val="28"/>
        </w:rPr>
        <w:t>实时统计乘客乘车的消费数据量，以醒目的图表方式进行展示。也可以根据线路、车辆、时间段等信息查询当日乘客乘车信息</w:t>
      </w:r>
      <w:r>
        <w:rPr>
          <w:rFonts w:hint="eastAsia" w:ascii="方正仿宋_GBK" w:hAnsi="宋体" w:eastAsia="方正仿宋_GBK" w:cs="宋体"/>
          <w:sz w:val="28"/>
          <w:szCs w:val="28"/>
        </w:rPr>
        <w:t>。</w:t>
      </w:r>
    </w:p>
    <w:p w14:paraId="36169153">
      <w:pPr>
        <w:spacing w:line="360" w:lineRule="auto"/>
        <w:ind w:firstLine="495" w:firstLineChars="177"/>
        <w:rPr>
          <w:rFonts w:hint="eastAsia" w:ascii="方正仿宋_GBK" w:hAnsi="宋体" w:eastAsia="方正仿宋_GBK" w:cs="宋体"/>
          <w:sz w:val="28"/>
          <w:szCs w:val="28"/>
        </w:rPr>
      </w:pPr>
      <w:r>
        <w:rPr>
          <w:rFonts w:hint="eastAsia" w:ascii="方正仿宋_GBK" w:hAnsi="宋体" w:eastAsia="方正仿宋_GBK" w:cs="宋体"/>
          <w:sz w:val="28"/>
          <w:szCs w:val="28"/>
        </w:rPr>
        <w:t>3</w:t>
      </w:r>
      <w:bookmarkStart w:id="1" w:name="_Toc2111"/>
      <w:bookmarkStart w:id="2" w:name="_Toc161653693"/>
      <w:bookmarkStart w:id="3" w:name="_Toc162037027"/>
      <w:r>
        <w:rPr>
          <w:rFonts w:hint="eastAsia" w:ascii="方正仿宋_GBK" w:hAnsi="宋体" w:eastAsia="方正仿宋_GBK" w:cs="宋体"/>
          <w:sz w:val="28"/>
          <w:szCs w:val="28"/>
        </w:rPr>
        <w:t>）</w:t>
      </w:r>
      <w:r>
        <w:rPr>
          <w:rFonts w:hint="eastAsia" w:ascii="方正仿宋_GBK" w:hAnsi="Times New Roman" w:eastAsia="方正仿宋_GBK" w:cs="Times New Roman"/>
          <w:sz w:val="28"/>
          <w:szCs w:val="28"/>
        </w:rPr>
        <w:t>设备监控</w:t>
      </w:r>
      <w:bookmarkEnd w:id="1"/>
      <w:bookmarkEnd w:id="2"/>
      <w:bookmarkEnd w:id="3"/>
    </w:p>
    <w:p w14:paraId="50C062AE">
      <w:pPr>
        <w:spacing w:line="360" w:lineRule="auto"/>
        <w:ind w:firstLine="495" w:firstLineChars="177"/>
        <w:rPr>
          <w:rFonts w:hint="eastAsia" w:ascii="方正仿宋_GBK" w:hAnsi="宋体" w:eastAsia="方正仿宋_GBK" w:cs="宋体"/>
          <w:sz w:val="28"/>
          <w:szCs w:val="28"/>
        </w:rPr>
      </w:pPr>
      <w:r>
        <w:rPr>
          <w:rFonts w:hint="eastAsia" w:ascii="方正仿宋_GBK" w:hAnsi="Times New Roman" w:eastAsia="方正仿宋_GBK" w:cs="Times New Roman"/>
          <w:sz w:val="28"/>
          <w:szCs w:val="28"/>
        </w:rPr>
        <w:t>查看车载设备的在线情况，主要属性包括车载机编号、最后注册时间、失联时间、程序版本、二维码程序版本、公司、路队、线路、车辆号、黑名单版本号等信息</w:t>
      </w:r>
      <w:r>
        <w:rPr>
          <w:rFonts w:hint="eastAsia" w:ascii="方正仿宋_GBK" w:hAnsi="宋体" w:eastAsia="方正仿宋_GBK" w:cs="宋体"/>
          <w:sz w:val="28"/>
          <w:szCs w:val="28"/>
        </w:rPr>
        <w:t>。</w:t>
      </w:r>
    </w:p>
    <w:p w14:paraId="7C5354F0">
      <w:pPr>
        <w:spacing w:line="360" w:lineRule="auto"/>
        <w:ind w:firstLine="495" w:firstLineChars="177"/>
        <w:rPr>
          <w:rFonts w:hint="eastAsia" w:ascii="方正仿宋_GBK" w:hAnsi="宋体" w:eastAsia="方正仿宋_GBK" w:cs="宋体"/>
          <w:sz w:val="28"/>
          <w:szCs w:val="28"/>
        </w:rPr>
      </w:pPr>
      <w:bookmarkStart w:id="4" w:name="OLE_LINK9"/>
      <w:bookmarkStart w:id="5" w:name="OLE_LINK8"/>
      <w:r>
        <w:rPr>
          <w:rFonts w:hint="eastAsia" w:ascii="方正仿宋_GBK" w:hAnsi="宋体" w:eastAsia="方正仿宋_GBK" w:cs="宋体"/>
          <w:sz w:val="28"/>
          <w:szCs w:val="28"/>
        </w:rPr>
        <w:t>4）设备查询</w:t>
      </w:r>
    </w:p>
    <w:bookmarkEnd w:id="4"/>
    <w:bookmarkEnd w:id="5"/>
    <w:p w14:paraId="129A76E7">
      <w:pPr>
        <w:spacing w:line="360" w:lineRule="auto"/>
        <w:ind w:firstLine="495" w:firstLineChars="177"/>
        <w:rPr>
          <w:rFonts w:hint="eastAsia" w:ascii="方正仿宋_GBK" w:hAnsi="Times New Roman" w:eastAsia="方正仿宋_GBK" w:cs="Times New Roman"/>
          <w:sz w:val="28"/>
          <w:szCs w:val="28"/>
        </w:rPr>
      </w:pPr>
      <w:r>
        <w:rPr>
          <w:rFonts w:hint="eastAsia" w:ascii="方正仿宋_GBK" w:hAnsi="Times New Roman" w:eastAsia="方正仿宋_GBK" w:cs="Times New Roman"/>
          <w:sz w:val="28"/>
          <w:szCs w:val="28"/>
        </w:rPr>
        <w:t>可根据公司名、线路号、车载机编号、车辆号、是否有效、失联时间查询车载机在线信息</w:t>
      </w:r>
    </w:p>
    <w:p w14:paraId="4D17FEC4">
      <w:pPr>
        <w:spacing w:line="360" w:lineRule="auto"/>
        <w:ind w:firstLine="495" w:firstLineChars="177"/>
        <w:rPr>
          <w:rFonts w:hint="eastAsia" w:ascii="方正仿宋_GBK" w:hAnsi="宋体" w:eastAsia="方正仿宋_GBK" w:cs="宋体"/>
          <w:sz w:val="28"/>
          <w:szCs w:val="28"/>
        </w:rPr>
      </w:pPr>
      <w:r>
        <w:rPr>
          <w:rFonts w:hint="eastAsia" w:ascii="方正仿宋_GBK" w:hAnsi="宋体" w:eastAsia="方正仿宋_GBK" w:cs="宋体"/>
          <w:sz w:val="28"/>
          <w:szCs w:val="28"/>
        </w:rPr>
        <w:t>5）车载机</w:t>
      </w:r>
      <w:r>
        <w:rPr>
          <w:rFonts w:hint="eastAsia" w:ascii="方正仿宋_GBK" w:hAnsi="Times New Roman" w:eastAsia="方正仿宋_GBK" w:cs="Times New Roman"/>
          <w:sz w:val="28"/>
          <w:szCs w:val="28"/>
        </w:rPr>
        <w:t>批量更新车载任务</w:t>
      </w:r>
    </w:p>
    <w:p w14:paraId="747F52C7">
      <w:pPr>
        <w:spacing w:line="360" w:lineRule="auto"/>
        <w:ind w:firstLine="495" w:firstLineChars="177"/>
        <w:rPr>
          <w:rFonts w:hint="eastAsia" w:ascii="方正仿宋_GBK" w:hAnsi="宋体" w:eastAsia="方正仿宋_GBK" w:cs="宋体"/>
          <w:sz w:val="28"/>
          <w:szCs w:val="28"/>
        </w:rPr>
      </w:pPr>
      <w:r>
        <w:rPr>
          <w:rFonts w:hint="eastAsia" w:ascii="方正仿宋_GBK" w:hAnsi="Times New Roman" w:eastAsia="方正仿宋_GBK" w:cs="Times New Roman"/>
          <w:sz w:val="28"/>
          <w:szCs w:val="28"/>
        </w:rPr>
        <w:t>可根据选择的公司对应线路进行单台或者多台车载机设备的任务升级。升级的内容包括运行参数信息、车载机程序、站点信息、梯形票价等任务。</w:t>
      </w:r>
    </w:p>
    <w:p w14:paraId="72BBA256">
      <w:pPr>
        <w:spacing w:line="360" w:lineRule="auto"/>
        <w:ind w:firstLine="495" w:firstLineChars="177"/>
        <w:rPr>
          <w:rFonts w:hint="eastAsia" w:ascii="方正仿宋_GBK" w:hAnsi="宋体" w:eastAsia="方正仿宋_GBK" w:cs="宋体"/>
          <w:sz w:val="28"/>
          <w:szCs w:val="28"/>
        </w:rPr>
      </w:pPr>
      <w:r>
        <w:rPr>
          <w:rFonts w:hint="eastAsia" w:ascii="方正仿宋_GBK" w:hAnsi="宋体" w:eastAsia="方正仿宋_GBK" w:cs="宋体"/>
          <w:sz w:val="28"/>
          <w:szCs w:val="28"/>
        </w:rPr>
        <w:t>6</w:t>
      </w:r>
      <w:bookmarkStart w:id="6" w:name="_Toc161653690"/>
      <w:r>
        <w:rPr>
          <w:rFonts w:hint="eastAsia" w:ascii="方正仿宋_GBK" w:hAnsi="宋体" w:eastAsia="方正仿宋_GBK" w:cs="宋体"/>
          <w:sz w:val="28"/>
          <w:szCs w:val="28"/>
        </w:rPr>
        <w:t>）</w:t>
      </w:r>
      <w:r>
        <w:rPr>
          <w:rFonts w:hint="eastAsia" w:ascii="方正仿宋_GBK" w:hAnsi="Times New Roman" w:eastAsia="方正仿宋_GBK" w:cs="Times New Roman"/>
          <w:sz w:val="28"/>
          <w:szCs w:val="28"/>
        </w:rPr>
        <w:t>运参基础信息管理</w:t>
      </w:r>
      <w:bookmarkEnd w:id="6"/>
    </w:p>
    <w:p w14:paraId="246A3D87">
      <w:pPr>
        <w:spacing w:line="360" w:lineRule="auto"/>
        <w:ind w:firstLine="495" w:firstLineChars="177"/>
        <w:rPr>
          <w:rFonts w:hint="eastAsia" w:ascii="方正仿宋_GBK" w:hAnsi="宋体" w:eastAsia="方正仿宋_GBK" w:cs="宋体"/>
          <w:sz w:val="28"/>
          <w:szCs w:val="28"/>
        </w:rPr>
      </w:pPr>
      <w:r>
        <w:rPr>
          <w:rFonts w:hint="eastAsia" w:ascii="方正仿宋_GBK" w:hAnsi="Times New Roman" w:eastAsia="方正仿宋_GBK" w:cs="Times New Roman"/>
          <w:sz w:val="28"/>
          <w:szCs w:val="28"/>
        </w:rPr>
        <w:t>运参基础数据的维护，包括新行业号、新部门、新路队、新线路、是否有效、区域权限、行业权限、部门权限、路队权限、站点总数、服务器ip地址、服务器端口号、APN、APN_USER、APN_PASSWORD等。</w:t>
      </w:r>
    </w:p>
    <w:p w14:paraId="5B84CDA2">
      <w:pPr>
        <w:spacing w:line="360" w:lineRule="auto"/>
        <w:ind w:firstLine="495" w:firstLineChars="177"/>
        <w:rPr>
          <w:rFonts w:hint="eastAsia" w:ascii="方正仿宋_GBK" w:hAnsi="宋体" w:eastAsia="方正仿宋_GBK" w:cs="宋体"/>
          <w:sz w:val="28"/>
          <w:szCs w:val="28"/>
        </w:rPr>
      </w:pPr>
      <w:r>
        <w:rPr>
          <w:rFonts w:hint="eastAsia" w:ascii="方正仿宋_GBK" w:hAnsi="宋体" w:eastAsia="方正仿宋_GBK" w:cs="宋体"/>
          <w:sz w:val="28"/>
          <w:szCs w:val="28"/>
        </w:rPr>
        <w:t>7）票价信息管理</w:t>
      </w:r>
    </w:p>
    <w:p w14:paraId="01879300">
      <w:pPr>
        <w:spacing w:line="360" w:lineRule="auto"/>
        <w:ind w:firstLine="495" w:firstLineChars="177"/>
        <w:rPr>
          <w:rFonts w:hint="eastAsia" w:ascii="方正仿宋_GBK" w:hAnsi="宋体" w:eastAsia="方正仿宋_GBK" w:cs="宋体"/>
          <w:sz w:val="28"/>
          <w:szCs w:val="28"/>
        </w:rPr>
      </w:pPr>
      <w:r>
        <w:rPr>
          <w:rFonts w:hint="eastAsia" w:ascii="方正仿宋_GBK" w:hAnsi="Times New Roman" w:eastAsia="方正仿宋_GBK" w:cs="Times New Roman"/>
          <w:sz w:val="28"/>
          <w:szCs w:val="28"/>
        </w:rPr>
        <w:t>对票价信息的管理，主要字段包括票价名、描述、基准票价、票类型、是否允许换乘、钱包换乘折扣率、带人折扣率、高峰带人折扣率、是否有效等。</w:t>
      </w:r>
    </w:p>
    <w:p w14:paraId="585E9EF0">
      <w:pPr>
        <w:spacing w:line="360" w:lineRule="auto"/>
        <w:ind w:firstLine="495" w:firstLineChars="177"/>
        <w:rPr>
          <w:rFonts w:hint="eastAsia" w:ascii="方正仿宋_GBK" w:hAnsi="宋体" w:eastAsia="方正仿宋_GBK" w:cs="宋体"/>
          <w:sz w:val="28"/>
          <w:szCs w:val="28"/>
        </w:rPr>
      </w:pPr>
      <w:r>
        <w:rPr>
          <w:rFonts w:hint="eastAsia" w:ascii="方正仿宋_GBK" w:hAnsi="宋体" w:eastAsia="方正仿宋_GBK" w:cs="宋体"/>
          <w:sz w:val="28"/>
          <w:szCs w:val="28"/>
        </w:rPr>
        <w:t>8）运参信息设置</w:t>
      </w:r>
    </w:p>
    <w:p w14:paraId="336CDC67">
      <w:pPr>
        <w:spacing w:line="360" w:lineRule="auto"/>
        <w:ind w:firstLine="495" w:firstLineChars="177"/>
        <w:rPr>
          <w:rFonts w:hint="eastAsia" w:ascii="方正仿宋_GBK" w:hAnsi="宋体" w:eastAsia="方正仿宋_GBK" w:cs="宋体"/>
          <w:sz w:val="28"/>
          <w:szCs w:val="28"/>
        </w:rPr>
      </w:pPr>
      <w:r>
        <w:rPr>
          <w:rFonts w:hint="eastAsia" w:ascii="方正仿宋_GBK" w:hAnsi="Times New Roman" w:eastAsia="方正仿宋_GBK" w:cs="Times New Roman"/>
          <w:sz w:val="28"/>
          <w:szCs w:val="28"/>
        </w:rPr>
        <w:t>实现运参基础信息和票价信息的绑定，实现对线路信息和票价信息的绑定，可查看已经绑定的运参信息。</w:t>
      </w:r>
    </w:p>
    <w:p w14:paraId="3A034C96">
      <w:pPr>
        <w:spacing w:line="360" w:lineRule="auto"/>
        <w:ind w:firstLine="280" w:firstLineChars="100"/>
        <w:rPr>
          <w:rFonts w:hint="eastAsia" w:ascii="方正仿宋_GBK" w:hAnsi="宋体" w:eastAsia="方正仿宋_GBK" w:cs="宋体"/>
          <w:sz w:val="28"/>
          <w:szCs w:val="28"/>
        </w:rPr>
      </w:pPr>
      <w:r>
        <w:rPr>
          <w:rFonts w:hint="eastAsia" w:ascii="方正仿宋_GBK" w:hAnsi="宋体" w:eastAsia="方正仿宋_GBK" w:cs="宋体"/>
          <w:sz w:val="28"/>
          <w:szCs w:val="28"/>
        </w:rPr>
        <w:t>1.2管理卡发卡系统</w:t>
      </w:r>
    </w:p>
    <w:p w14:paraId="70D27D17">
      <w:pPr>
        <w:spacing w:line="360" w:lineRule="auto"/>
        <w:ind w:firstLine="280" w:firstLineChars="100"/>
        <w:rPr>
          <w:rFonts w:hint="eastAsia" w:ascii="方正仿宋_GBK" w:hAnsi="宋体" w:eastAsia="方正仿宋_GBK" w:cs="宋体"/>
          <w:sz w:val="28"/>
          <w:szCs w:val="28"/>
        </w:rPr>
      </w:pPr>
      <w:r>
        <w:rPr>
          <w:rFonts w:hint="eastAsia" w:ascii="方正仿宋_GBK" w:hAnsi="宋体" w:eastAsia="方正仿宋_GBK" w:cs="宋体"/>
          <w:sz w:val="28"/>
          <w:szCs w:val="28"/>
        </w:rPr>
        <w:t>1）运参卡管理</w:t>
      </w:r>
    </w:p>
    <w:p w14:paraId="62888DD8">
      <w:pPr>
        <w:spacing w:line="360" w:lineRule="auto"/>
        <w:ind w:firstLine="280" w:firstLineChars="100"/>
        <w:rPr>
          <w:rFonts w:hint="eastAsia" w:ascii="方正仿宋_GBK" w:hAnsi="宋体" w:eastAsia="方正仿宋_GBK" w:cs="宋体"/>
          <w:sz w:val="28"/>
          <w:szCs w:val="28"/>
        </w:rPr>
      </w:pPr>
      <w:r>
        <w:rPr>
          <w:rFonts w:hint="eastAsia" w:ascii="方正仿宋_GBK" w:hAnsi="宋体" w:eastAsia="方正仿宋_GBK" w:cs="宋体"/>
          <w:sz w:val="28"/>
          <w:szCs w:val="28"/>
        </w:rPr>
        <w:t xml:space="preserve">可修改运行参数的内容，包括公司、路队、线路的权限及相关设置值，票价设置、钱包权限设置、折扣率设置、网络参数设置等项。 </w:t>
      </w:r>
    </w:p>
    <w:p w14:paraId="5B58F0ED">
      <w:pPr>
        <w:spacing w:line="360" w:lineRule="auto"/>
        <w:ind w:firstLine="280" w:firstLineChars="100"/>
        <w:rPr>
          <w:rFonts w:hint="eastAsia" w:ascii="方正仿宋_GBK" w:hAnsi="宋体" w:eastAsia="方正仿宋_GBK" w:cs="宋体"/>
          <w:sz w:val="28"/>
          <w:szCs w:val="28"/>
        </w:rPr>
      </w:pPr>
      <w:r>
        <w:rPr>
          <w:rFonts w:hint="eastAsia" w:ascii="方正仿宋_GBK" w:hAnsi="宋体" w:eastAsia="方正仿宋_GBK" w:cs="宋体"/>
          <w:sz w:val="28"/>
          <w:szCs w:val="28"/>
        </w:rPr>
        <w:t>2）设置卡管理</w:t>
      </w:r>
    </w:p>
    <w:p w14:paraId="44DA8686">
      <w:pPr>
        <w:spacing w:line="360" w:lineRule="auto"/>
        <w:ind w:firstLine="280" w:firstLineChars="100"/>
        <w:rPr>
          <w:rFonts w:hint="eastAsia" w:ascii="方正仿宋_GBK" w:hAnsi="宋体" w:eastAsia="方正仿宋_GBK" w:cs="宋体"/>
          <w:sz w:val="28"/>
          <w:szCs w:val="28"/>
        </w:rPr>
      </w:pPr>
      <w:r>
        <w:rPr>
          <w:rFonts w:hint="eastAsia" w:ascii="方正仿宋_GBK" w:hAnsi="宋体" w:eastAsia="方正仿宋_GBK" w:cs="宋体"/>
          <w:sz w:val="28"/>
          <w:szCs w:val="28"/>
        </w:rPr>
        <w:t>可管理设置卡的权限，设置卡的权限包括行业权限、公司权限等。</w:t>
      </w:r>
    </w:p>
    <w:p w14:paraId="52379D78">
      <w:pPr>
        <w:spacing w:line="360" w:lineRule="auto"/>
        <w:ind w:firstLine="280" w:firstLineChars="100"/>
        <w:rPr>
          <w:rFonts w:hint="eastAsia" w:ascii="方正仿宋_GBK" w:hAnsi="宋体" w:eastAsia="方正仿宋_GBK" w:cs="宋体"/>
          <w:sz w:val="28"/>
          <w:szCs w:val="28"/>
        </w:rPr>
      </w:pPr>
      <w:r>
        <w:rPr>
          <w:rFonts w:hint="eastAsia" w:ascii="方正仿宋_GBK" w:hAnsi="宋体" w:eastAsia="方正仿宋_GBK" w:cs="宋体"/>
          <w:sz w:val="28"/>
          <w:szCs w:val="28"/>
        </w:rPr>
        <w:t>3）公用司机卡管理</w:t>
      </w:r>
    </w:p>
    <w:p w14:paraId="2D38FD58">
      <w:pPr>
        <w:spacing w:line="360" w:lineRule="auto"/>
        <w:ind w:firstLine="280" w:firstLineChars="100"/>
        <w:rPr>
          <w:rFonts w:hint="eastAsia" w:ascii="方正仿宋_GBK" w:hAnsi="宋体" w:eastAsia="方正仿宋_GBK" w:cs="宋体"/>
          <w:sz w:val="28"/>
          <w:szCs w:val="28"/>
        </w:rPr>
      </w:pPr>
      <w:r>
        <w:rPr>
          <w:rFonts w:hint="eastAsia" w:ascii="方正仿宋_GBK" w:hAnsi="宋体" w:eastAsia="方正仿宋_GBK" w:cs="宋体"/>
          <w:sz w:val="28"/>
          <w:szCs w:val="28"/>
        </w:rPr>
        <w:t>可管理公用司机卡的权限，设置卡的权限信息包括区域权限、行业权限、公司权限。</w:t>
      </w:r>
    </w:p>
    <w:p w14:paraId="597E433E">
      <w:pPr>
        <w:spacing w:line="360" w:lineRule="auto"/>
        <w:ind w:firstLine="280" w:firstLineChars="100"/>
        <w:rPr>
          <w:rFonts w:hint="eastAsia" w:ascii="方正仿宋_GBK" w:hAnsi="宋体" w:eastAsia="方正仿宋_GBK" w:cs="宋体"/>
          <w:sz w:val="28"/>
          <w:szCs w:val="28"/>
        </w:rPr>
      </w:pPr>
      <w:r>
        <w:rPr>
          <w:rFonts w:hint="eastAsia" w:ascii="方正仿宋_GBK" w:hAnsi="宋体" w:eastAsia="方正仿宋_GBK" w:cs="宋体"/>
          <w:sz w:val="28"/>
          <w:szCs w:val="28"/>
        </w:rPr>
        <w:t>4）功能描述：</w:t>
      </w:r>
    </w:p>
    <w:p w14:paraId="27FCE696">
      <w:pPr>
        <w:spacing w:line="360" w:lineRule="auto"/>
        <w:ind w:firstLine="280" w:firstLineChars="100"/>
        <w:rPr>
          <w:rFonts w:hint="eastAsia" w:ascii="方正仿宋_GBK" w:hAnsi="宋体" w:eastAsia="方正仿宋_GBK" w:cs="宋体"/>
          <w:sz w:val="28"/>
          <w:szCs w:val="28"/>
        </w:rPr>
      </w:pPr>
      <w:r>
        <w:rPr>
          <w:rFonts w:hint="eastAsia" w:ascii="方正仿宋_GBK" w:hAnsi="宋体" w:eastAsia="方正仿宋_GBK" w:cs="宋体"/>
          <w:sz w:val="28"/>
          <w:szCs w:val="28"/>
        </w:rPr>
        <w:t>可选择管理卡发卡订单编号，可实现对相应订单点击完成初始化、制卡操作、清卡操作</w:t>
      </w:r>
    </w:p>
    <w:p w14:paraId="6C9A725D">
      <w:pPr>
        <w:spacing w:line="360" w:lineRule="auto"/>
        <w:ind w:firstLine="280" w:firstLineChars="100"/>
        <w:rPr>
          <w:rFonts w:hint="eastAsia" w:ascii="方正仿宋_GBK" w:hAnsi="宋体" w:eastAsia="方正仿宋_GBK" w:cs="宋体"/>
          <w:sz w:val="28"/>
          <w:szCs w:val="28"/>
        </w:rPr>
      </w:pPr>
      <w:r>
        <w:rPr>
          <w:rFonts w:hint="eastAsia" w:ascii="方正仿宋_GBK" w:hAnsi="宋体" w:eastAsia="方正仿宋_GBK" w:cs="宋体"/>
          <w:sz w:val="28"/>
          <w:szCs w:val="28"/>
        </w:rPr>
        <w:t>1.3部标码清结算系统</w:t>
      </w:r>
    </w:p>
    <w:p w14:paraId="4E969584">
      <w:pPr>
        <w:spacing w:line="360" w:lineRule="auto"/>
        <w:ind w:firstLine="280" w:firstLineChars="100"/>
        <w:rPr>
          <w:rFonts w:hint="eastAsia" w:ascii="方正仿宋_GBK" w:hAnsi="宋体" w:eastAsia="方正仿宋_GBK" w:cs="宋体"/>
          <w:sz w:val="28"/>
          <w:szCs w:val="28"/>
        </w:rPr>
      </w:pPr>
      <w:r>
        <w:rPr>
          <w:rFonts w:hint="eastAsia" w:ascii="方正仿宋_GBK" w:hAnsi="宋体" w:eastAsia="方正仿宋_GBK" w:cs="宋体"/>
          <w:sz w:val="28"/>
          <w:szCs w:val="28"/>
        </w:rPr>
        <w:t>1）数据发送</w:t>
      </w:r>
    </w:p>
    <w:p w14:paraId="1AA62FDD">
      <w:pPr>
        <w:spacing w:line="360" w:lineRule="auto"/>
        <w:ind w:firstLine="280" w:firstLineChars="100"/>
        <w:rPr>
          <w:rFonts w:hint="eastAsia" w:ascii="方正仿宋_GBK" w:hAnsi="宋体" w:eastAsia="方正仿宋_GBK" w:cs="宋体"/>
          <w:sz w:val="28"/>
          <w:szCs w:val="28"/>
        </w:rPr>
      </w:pPr>
      <w:r>
        <w:rPr>
          <w:rFonts w:hint="eastAsia" w:ascii="方正仿宋_GBK" w:hAnsi="宋体" w:eastAsia="方正仿宋_GBK" w:cs="宋体"/>
          <w:sz w:val="28"/>
          <w:szCs w:val="28"/>
        </w:rPr>
        <w:t>将每日上传的消费数据按指定格式生成文件，并上传到市民卡指定的目录文件中。</w:t>
      </w:r>
    </w:p>
    <w:p w14:paraId="66E8A074">
      <w:pPr>
        <w:spacing w:line="360" w:lineRule="auto"/>
        <w:ind w:firstLine="280" w:firstLineChars="100"/>
        <w:rPr>
          <w:rFonts w:hint="eastAsia" w:ascii="方正仿宋_GBK" w:hAnsi="宋体" w:eastAsia="方正仿宋_GBK" w:cs="宋体"/>
          <w:sz w:val="28"/>
          <w:szCs w:val="28"/>
        </w:rPr>
      </w:pPr>
      <w:r>
        <w:rPr>
          <w:rFonts w:hint="eastAsia" w:ascii="方正仿宋_GBK" w:hAnsi="宋体" w:eastAsia="方正仿宋_GBK" w:cs="宋体"/>
          <w:sz w:val="28"/>
          <w:szCs w:val="28"/>
        </w:rPr>
        <w:t>2）数据接收</w:t>
      </w:r>
    </w:p>
    <w:p w14:paraId="46408818">
      <w:pPr>
        <w:spacing w:line="360" w:lineRule="auto"/>
        <w:ind w:firstLine="280" w:firstLineChars="100"/>
        <w:rPr>
          <w:rFonts w:hint="eastAsia" w:ascii="方正仿宋_GBK" w:hAnsi="宋体" w:eastAsia="方正仿宋_GBK" w:cs="宋体"/>
          <w:sz w:val="28"/>
          <w:szCs w:val="28"/>
        </w:rPr>
      </w:pPr>
      <w:r>
        <w:rPr>
          <w:rFonts w:hint="eastAsia" w:ascii="方正仿宋_GBK" w:hAnsi="宋体" w:eastAsia="方正仿宋_GBK" w:cs="宋体"/>
          <w:sz w:val="28"/>
          <w:szCs w:val="28"/>
        </w:rPr>
        <w:tab/>
      </w:r>
      <w:r>
        <w:rPr>
          <w:rFonts w:hint="eastAsia" w:ascii="方正仿宋_GBK" w:hAnsi="宋体" w:eastAsia="方正仿宋_GBK" w:cs="宋体"/>
          <w:sz w:val="28"/>
          <w:szCs w:val="28"/>
        </w:rPr>
        <w:t>用于接收返回的数据，导入到指定的返回表中。</w:t>
      </w:r>
    </w:p>
    <w:p w14:paraId="1C8A0175">
      <w:pPr>
        <w:spacing w:line="360" w:lineRule="auto"/>
        <w:ind w:firstLine="280" w:firstLineChars="100"/>
        <w:rPr>
          <w:rFonts w:hint="eastAsia" w:ascii="方正仿宋_GBK" w:hAnsi="宋体" w:eastAsia="方正仿宋_GBK" w:cs="宋体"/>
          <w:sz w:val="28"/>
          <w:szCs w:val="28"/>
        </w:rPr>
      </w:pPr>
      <w:r>
        <w:rPr>
          <w:rFonts w:hint="eastAsia" w:ascii="方正仿宋_GBK" w:hAnsi="宋体" w:eastAsia="方正仿宋_GBK" w:cs="宋体"/>
          <w:sz w:val="28"/>
          <w:szCs w:val="28"/>
        </w:rPr>
        <w:t>3）数据对账</w:t>
      </w:r>
    </w:p>
    <w:p w14:paraId="4BF0463C">
      <w:pPr>
        <w:spacing w:line="360" w:lineRule="auto"/>
        <w:ind w:firstLine="280" w:firstLineChars="100"/>
        <w:rPr>
          <w:rFonts w:hint="eastAsia" w:ascii="方正仿宋_GBK" w:hAnsi="宋体" w:eastAsia="方正仿宋_GBK" w:cs="宋体"/>
          <w:sz w:val="28"/>
          <w:szCs w:val="28"/>
        </w:rPr>
      </w:pPr>
      <w:r>
        <w:rPr>
          <w:rFonts w:hint="eastAsia" w:ascii="方正仿宋_GBK" w:hAnsi="宋体" w:eastAsia="方正仿宋_GBK" w:cs="宋体"/>
          <w:sz w:val="28"/>
          <w:szCs w:val="28"/>
        </w:rPr>
        <w:tab/>
      </w:r>
      <w:r>
        <w:rPr>
          <w:rFonts w:hint="eastAsia" w:ascii="方正仿宋_GBK" w:hAnsi="宋体" w:eastAsia="方正仿宋_GBK" w:cs="宋体"/>
          <w:sz w:val="28"/>
          <w:szCs w:val="28"/>
        </w:rPr>
        <w:t>用数据返回与本地数据进行对账，核准合法数据后生成汇总报表。</w:t>
      </w:r>
    </w:p>
    <w:p w14:paraId="78909C1E">
      <w:pPr>
        <w:spacing w:line="360" w:lineRule="auto"/>
        <w:ind w:firstLine="280" w:firstLineChars="100"/>
        <w:rPr>
          <w:rFonts w:hint="eastAsia" w:ascii="方正仿宋_GBK" w:hAnsi="宋体" w:eastAsia="方正仿宋_GBK" w:cs="宋体"/>
          <w:sz w:val="28"/>
          <w:szCs w:val="28"/>
        </w:rPr>
      </w:pPr>
      <w:r>
        <w:rPr>
          <w:rFonts w:hint="eastAsia" w:ascii="方正仿宋_GBK" w:hAnsi="宋体" w:eastAsia="方正仿宋_GBK" w:cs="宋体"/>
          <w:sz w:val="28"/>
          <w:szCs w:val="28"/>
        </w:rPr>
        <w:t>4）异地数据发送</w:t>
      </w:r>
    </w:p>
    <w:p w14:paraId="2310A60B">
      <w:pPr>
        <w:spacing w:line="360" w:lineRule="auto"/>
        <w:ind w:firstLine="280" w:firstLineChars="100"/>
        <w:rPr>
          <w:rFonts w:hint="eastAsia" w:ascii="方正仿宋_GBK" w:hAnsi="宋体" w:eastAsia="方正仿宋_GBK" w:cs="宋体"/>
          <w:sz w:val="28"/>
          <w:szCs w:val="28"/>
        </w:rPr>
      </w:pPr>
      <w:r>
        <w:rPr>
          <w:rFonts w:hint="eastAsia" w:ascii="方正仿宋_GBK" w:hAnsi="宋体" w:eastAsia="方正仿宋_GBK" w:cs="宋体"/>
          <w:sz w:val="28"/>
          <w:szCs w:val="28"/>
        </w:rPr>
        <w:t>将每日上传的异地消费数据按指定格式报文上传至数据处理中心。</w:t>
      </w:r>
    </w:p>
    <w:p w14:paraId="36E7D42D">
      <w:pPr>
        <w:spacing w:line="360" w:lineRule="auto"/>
        <w:ind w:firstLine="280" w:firstLineChars="100"/>
        <w:rPr>
          <w:rFonts w:hint="eastAsia" w:ascii="方正仿宋_GBK" w:hAnsi="宋体" w:eastAsia="方正仿宋_GBK" w:cs="宋体"/>
          <w:sz w:val="28"/>
          <w:szCs w:val="28"/>
        </w:rPr>
      </w:pPr>
      <w:r>
        <w:rPr>
          <w:rFonts w:hint="eastAsia" w:ascii="方正仿宋_GBK" w:hAnsi="宋体" w:eastAsia="方正仿宋_GBK" w:cs="宋体"/>
          <w:sz w:val="28"/>
          <w:szCs w:val="28"/>
        </w:rPr>
        <w:t>5）异地数据接收</w:t>
      </w:r>
    </w:p>
    <w:p w14:paraId="2D36E3CD">
      <w:pPr>
        <w:spacing w:line="360" w:lineRule="auto"/>
        <w:ind w:firstLine="280" w:firstLineChars="100"/>
        <w:rPr>
          <w:rFonts w:hint="eastAsia" w:ascii="方正仿宋_GBK" w:hAnsi="宋体" w:eastAsia="方正仿宋_GBK" w:cs="宋体"/>
          <w:sz w:val="28"/>
          <w:szCs w:val="28"/>
        </w:rPr>
      </w:pPr>
      <w:r>
        <w:rPr>
          <w:rFonts w:hint="eastAsia" w:ascii="方正仿宋_GBK" w:hAnsi="宋体" w:eastAsia="方正仿宋_GBK" w:cs="宋体"/>
          <w:sz w:val="28"/>
          <w:szCs w:val="28"/>
        </w:rPr>
        <w:t>用于接收数据处理中心返回的数据，导入到指定的返回表中。</w:t>
      </w:r>
    </w:p>
    <w:p w14:paraId="2E800708">
      <w:pPr>
        <w:spacing w:line="360" w:lineRule="auto"/>
        <w:ind w:firstLine="280" w:firstLineChars="100"/>
        <w:rPr>
          <w:rFonts w:hint="eastAsia" w:ascii="方正仿宋_GBK" w:hAnsi="宋体" w:eastAsia="方正仿宋_GBK" w:cs="宋体"/>
          <w:sz w:val="28"/>
          <w:szCs w:val="28"/>
        </w:rPr>
      </w:pPr>
      <w:r>
        <w:rPr>
          <w:rFonts w:hint="eastAsia" w:ascii="方正仿宋_GBK" w:hAnsi="宋体" w:eastAsia="方正仿宋_GBK" w:cs="宋体"/>
          <w:sz w:val="28"/>
          <w:szCs w:val="28"/>
        </w:rPr>
        <w:t>6）异地数据对账</w:t>
      </w:r>
    </w:p>
    <w:p w14:paraId="44904F75">
      <w:pPr>
        <w:spacing w:line="360" w:lineRule="auto"/>
        <w:ind w:firstLine="280" w:firstLineChars="100"/>
        <w:rPr>
          <w:rFonts w:hint="eastAsia" w:ascii="方正仿宋_GBK" w:hAnsi="宋体" w:eastAsia="方正仿宋_GBK" w:cs="宋体"/>
          <w:sz w:val="28"/>
          <w:szCs w:val="28"/>
        </w:rPr>
      </w:pPr>
      <w:r>
        <w:rPr>
          <w:rFonts w:hint="eastAsia" w:ascii="方正仿宋_GBK" w:hAnsi="宋体" w:eastAsia="方正仿宋_GBK" w:cs="宋体"/>
          <w:sz w:val="28"/>
          <w:szCs w:val="28"/>
        </w:rPr>
        <w:t>用异地数据返回与异地数据进行对账，核准合法数据后生成汇总报表。</w:t>
      </w:r>
    </w:p>
    <w:p w14:paraId="23815F7A">
      <w:pPr>
        <w:spacing w:line="360" w:lineRule="auto"/>
        <w:ind w:firstLine="281" w:firstLineChars="100"/>
        <w:rPr>
          <w:rFonts w:hint="eastAsia" w:ascii="方正仿宋_GBK" w:hAnsi="宋体" w:eastAsia="方正仿宋_GBK" w:cs="宋体"/>
          <w:b/>
          <w:sz w:val="28"/>
          <w:szCs w:val="28"/>
        </w:rPr>
      </w:pPr>
      <w:r>
        <w:rPr>
          <w:rFonts w:hint="eastAsia" w:ascii="方正仿宋_GBK" w:hAnsi="宋体" w:eastAsia="方正仿宋_GBK" w:cs="宋体"/>
          <w:b/>
          <w:sz w:val="28"/>
          <w:szCs w:val="28"/>
        </w:rPr>
        <w:t>2、数据传输</w:t>
      </w:r>
    </w:p>
    <w:p w14:paraId="3286469E">
      <w:pPr>
        <w:spacing w:line="360" w:lineRule="auto"/>
        <w:ind w:firstLine="280" w:firstLineChars="100"/>
        <w:rPr>
          <w:rFonts w:hint="eastAsia" w:ascii="方正仿宋_GBK" w:hAnsi="宋体" w:eastAsia="方正仿宋_GBK" w:cs="宋体"/>
          <w:sz w:val="28"/>
          <w:szCs w:val="28"/>
        </w:rPr>
      </w:pPr>
      <w:r>
        <w:rPr>
          <w:rFonts w:hint="eastAsia" w:ascii="方正仿宋_GBK" w:hAnsi="宋体" w:eastAsia="方正仿宋_GBK" w:cs="宋体"/>
          <w:sz w:val="28"/>
          <w:szCs w:val="28"/>
        </w:rPr>
        <w:t>2.1、数据传输系统</w:t>
      </w:r>
    </w:p>
    <w:p w14:paraId="2ACAAFDA">
      <w:pPr>
        <w:spacing w:line="360" w:lineRule="auto"/>
        <w:ind w:firstLine="280" w:firstLineChars="100"/>
        <w:rPr>
          <w:rFonts w:hint="eastAsia" w:ascii="方正仿宋_GBK" w:hAnsi="宋体" w:eastAsia="方正仿宋_GBK" w:cs="宋体"/>
          <w:sz w:val="28"/>
          <w:szCs w:val="28"/>
        </w:rPr>
      </w:pPr>
      <w:r>
        <w:rPr>
          <w:rFonts w:hint="eastAsia" w:ascii="方正仿宋_GBK" w:hAnsi="宋体" w:eastAsia="方正仿宋_GBK" w:cs="宋体"/>
          <w:sz w:val="28"/>
          <w:szCs w:val="28"/>
        </w:rPr>
        <w:t>数据传输系统完成对不同机构上传的数据进行加密、完整性、合法性检验。</w:t>
      </w:r>
    </w:p>
    <w:p w14:paraId="76CC735C">
      <w:pPr>
        <w:spacing w:line="360" w:lineRule="auto"/>
        <w:ind w:firstLine="280" w:firstLineChars="100"/>
        <w:rPr>
          <w:rFonts w:hint="eastAsia" w:ascii="方正仿宋_GBK" w:hAnsi="宋体" w:eastAsia="方正仿宋_GBK" w:cs="宋体"/>
          <w:sz w:val="28"/>
          <w:szCs w:val="28"/>
        </w:rPr>
      </w:pPr>
      <w:r>
        <w:rPr>
          <w:rFonts w:hint="eastAsia" w:ascii="方正仿宋_GBK" w:hAnsi="宋体" w:eastAsia="方正仿宋_GBK" w:cs="宋体"/>
          <w:sz w:val="28"/>
          <w:szCs w:val="28"/>
        </w:rPr>
        <w:t>2.2、对外接口设计</w:t>
      </w:r>
    </w:p>
    <w:p w14:paraId="0AE6EDE6">
      <w:pPr>
        <w:spacing w:line="360" w:lineRule="auto"/>
        <w:ind w:firstLine="280" w:firstLineChars="100"/>
        <w:rPr>
          <w:rFonts w:hint="eastAsia" w:ascii="方正仿宋_GBK" w:hAnsi="宋体" w:eastAsia="方正仿宋_GBK" w:cs="宋体"/>
          <w:sz w:val="28"/>
          <w:szCs w:val="28"/>
        </w:rPr>
      </w:pPr>
      <w:r>
        <w:rPr>
          <w:rFonts w:hint="eastAsia" w:ascii="方正仿宋_GBK" w:hAnsi="宋体" w:eastAsia="方正仿宋_GBK" w:cs="宋体"/>
          <w:sz w:val="28"/>
          <w:szCs w:val="28"/>
        </w:rPr>
        <w:t>按照要求，数据传输系统设计应充分考虑与各行业单位、省平台系统及日后全省范围互联互通和统一监管，预留标准化的对外接口。</w:t>
      </w:r>
    </w:p>
    <w:p w14:paraId="16805BDB">
      <w:pPr>
        <w:spacing w:line="360" w:lineRule="auto"/>
        <w:ind w:firstLine="280" w:firstLineChars="100"/>
        <w:rPr>
          <w:rFonts w:hint="eastAsia" w:ascii="方正仿宋_GBK" w:hAnsi="宋体" w:eastAsia="方正仿宋_GBK" w:cs="宋体"/>
          <w:sz w:val="28"/>
          <w:szCs w:val="28"/>
        </w:rPr>
      </w:pPr>
      <w:r>
        <w:rPr>
          <w:rFonts w:hint="eastAsia" w:ascii="方正仿宋_GBK" w:hAnsi="宋体" w:eastAsia="方正仿宋_GBK" w:cs="宋体"/>
          <w:sz w:val="28"/>
          <w:szCs w:val="28"/>
        </w:rPr>
        <w:t>数据传输系统的数据包支持常见的标准数据类型，设计系统支持多种处理模式等模式。</w:t>
      </w:r>
    </w:p>
    <w:p w14:paraId="418166D8">
      <w:pPr>
        <w:spacing w:line="360" w:lineRule="auto"/>
        <w:ind w:firstLine="280" w:firstLineChars="100"/>
        <w:rPr>
          <w:rFonts w:hint="eastAsia" w:ascii="方正仿宋_GBK" w:hAnsi="宋体" w:eastAsia="方正仿宋_GBK" w:cs="宋体"/>
          <w:sz w:val="28"/>
          <w:szCs w:val="28"/>
        </w:rPr>
      </w:pPr>
      <w:r>
        <w:rPr>
          <w:rFonts w:hint="eastAsia" w:ascii="方正仿宋_GBK" w:hAnsi="宋体" w:eastAsia="方正仿宋_GBK" w:cs="宋体"/>
          <w:sz w:val="28"/>
          <w:szCs w:val="28"/>
        </w:rPr>
        <w:t>数据传输系统可以很容易地制定接入接口的标准，数据接口遵循统一接入标准，无需考虑原有系统的实现机制。</w:t>
      </w:r>
    </w:p>
    <w:p w14:paraId="74237DE2">
      <w:pPr>
        <w:spacing w:line="360" w:lineRule="auto"/>
        <w:ind w:firstLine="280" w:firstLineChars="100"/>
        <w:rPr>
          <w:rFonts w:hint="eastAsia" w:ascii="方正仿宋_GBK" w:hAnsi="宋体" w:eastAsia="方正仿宋_GBK" w:cs="宋体"/>
          <w:sz w:val="28"/>
          <w:szCs w:val="28"/>
        </w:rPr>
      </w:pPr>
      <w:r>
        <w:rPr>
          <w:rFonts w:hint="eastAsia" w:ascii="方正仿宋_GBK" w:hAnsi="宋体" w:eastAsia="方正仿宋_GBK" w:cs="宋体"/>
          <w:sz w:val="28"/>
          <w:szCs w:val="28"/>
        </w:rPr>
        <w:t>2.3、数据传输平台特点</w:t>
      </w:r>
    </w:p>
    <w:p w14:paraId="7EE5BF88">
      <w:pPr>
        <w:spacing w:line="360" w:lineRule="auto"/>
        <w:ind w:firstLine="280" w:firstLineChars="100"/>
        <w:rPr>
          <w:rFonts w:hint="eastAsia" w:ascii="方正仿宋_GBK" w:hAnsi="宋体" w:eastAsia="方正仿宋_GBK" w:cs="宋体"/>
          <w:sz w:val="28"/>
          <w:szCs w:val="28"/>
        </w:rPr>
      </w:pPr>
      <w:r>
        <w:rPr>
          <w:rFonts w:hint="eastAsia" w:ascii="方正仿宋_GBK" w:hAnsi="宋体" w:eastAsia="方正仿宋_GBK" w:cs="宋体"/>
          <w:sz w:val="28"/>
          <w:szCs w:val="28"/>
        </w:rPr>
        <w:t>提高高并发环境下的响应能力，网络通讯过程始终处在有序、可控、高效的处理水平上从而保证整体系统的响应能力。</w:t>
      </w:r>
    </w:p>
    <w:p w14:paraId="39750DD9">
      <w:pPr>
        <w:spacing w:line="360" w:lineRule="auto"/>
        <w:ind w:firstLine="280" w:firstLineChars="100"/>
        <w:rPr>
          <w:rFonts w:hint="eastAsia" w:ascii="方正仿宋_GBK" w:hAnsi="宋体" w:eastAsia="方正仿宋_GBK" w:cs="宋体"/>
          <w:sz w:val="28"/>
          <w:szCs w:val="28"/>
        </w:rPr>
      </w:pPr>
      <w:r>
        <w:rPr>
          <w:rFonts w:hint="eastAsia" w:ascii="方正仿宋_GBK" w:hAnsi="宋体" w:eastAsia="方正仿宋_GBK" w:cs="宋体"/>
          <w:sz w:val="28"/>
          <w:szCs w:val="28"/>
        </w:rPr>
        <w:t>确保高并发环境下的系统可靠性，利用数据交换平台的高速数据甬道，将大量连接汇接成很少的连接，提高主机的处理能力。有效减少硬件系统故障的可能性。</w:t>
      </w:r>
    </w:p>
    <w:p w14:paraId="5909DA51">
      <w:pPr>
        <w:spacing w:line="360" w:lineRule="auto"/>
        <w:ind w:firstLine="280" w:firstLineChars="100"/>
        <w:rPr>
          <w:rFonts w:hint="eastAsia" w:ascii="方正仿宋_GBK" w:hAnsi="宋体" w:eastAsia="方正仿宋_GBK" w:cs="宋体"/>
          <w:sz w:val="28"/>
          <w:szCs w:val="28"/>
        </w:rPr>
      </w:pPr>
      <w:r>
        <w:rPr>
          <w:rFonts w:hint="eastAsia" w:ascii="方正仿宋_GBK" w:hAnsi="宋体" w:eastAsia="方正仿宋_GBK" w:cs="宋体"/>
          <w:sz w:val="28"/>
          <w:szCs w:val="28"/>
        </w:rPr>
        <w:t>动态组织交互逻辑，动态增加同类资源的个数来提高系统的性能和可用性</w:t>
      </w:r>
    </w:p>
    <w:p w14:paraId="01973303">
      <w:pPr>
        <w:spacing w:line="360" w:lineRule="auto"/>
        <w:ind w:firstLine="281" w:firstLineChars="100"/>
        <w:rPr>
          <w:rFonts w:hint="eastAsia" w:ascii="方正仿宋_GBK" w:hAnsi="宋体" w:eastAsia="方正仿宋_GBK" w:cs="宋体"/>
          <w:b/>
          <w:sz w:val="28"/>
          <w:szCs w:val="28"/>
        </w:rPr>
      </w:pPr>
      <w:r>
        <w:rPr>
          <w:rFonts w:hint="eastAsia" w:ascii="方正仿宋_GBK" w:hAnsi="宋体" w:eastAsia="方正仿宋_GBK" w:cs="宋体"/>
          <w:b/>
          <w:sz w:val="28"/>
          <w:szCs w:val="28"/>
        </w:rPr>
        <w:t>3、车载机软件升级</w:t>
      </w:r>
    </w:p>
    <w:p w14:paraId="121CB8A7">
      <w:pPr>
        <w:spacing w:line="360" w:lineRule="auto"/>
        <w:ind w:firstLine="280" w:firstLineChars="100"/>
        <w:rPr>
          <w:rFonts w:hint="eastAsia" w:ascii="方正仿宋_GBK" w:hAnsi="宋体" w:eastAsia="方正仿宋_GBK" w:cs="宋体"/>
          <w:sz w:val="28"/>
          <w:szCs w:val="28"/>
        </w:rPr>
      </w:pPr>
      <w:r>
        <w:rPr>
          <w:rFonts w:hint="eastAsia" w:ascii="方正仿宋_GBK" w:hAnsi="宋体" w:eastAsia="方正仿宋_GBK" w:cs="宋体"/>
          <w:sz w:val="28"/>
          <w:szCs w:val="28"/>
        </w:rPr>
        <w:t>3.1、在保持扬州市民卡现有卡正常刷卡的基础上，能够按照省交通一卡通平台要求升级车载机软件，使其能够识别部标码，确保与省内其他城市实现互联互通。；</w:t>
      </w:r>
    </w:p>
    <w:p w14:paraId="33853647">
      <w:pPr>
        <w:spacing w:line="360" w:lineRule="auto"/>
        <w:ind w:firstLine="280" w:firstLineChars="100"/>
        <w:rPr>
          <w:rFonts w:hint="eastAsia" w:ascii="方正仿宋_GBK" w:hAnsi="宋体" w:eastAsia="方正仿宋_GBK" w:cs="宋体"/>
          <w:sz w:val="28"/>
          <w:szCs w:val="28"/>
        </w:rPr>
      </w:pPr>
      <w:r>
        <w:rPr>
          <w:rFonts w:hint="eastAsia" w:ascii="方正仿宋_GBK" w:hAnsi="宋体" w:eastAsia="方正仿宋_GBK" w:cs="宋体"/>
          <w:sz w:val="28"/>
          <w:szCs w:val="28"/>
        </w:rPr>
        <w:t>3.2、按照省交通一卡通平台数据采集规范要求，重新编制车载机接口数据，将扬州本地交易数据、运营线路数据、车辆数据和车辆实时运营数据进行上传。</w:t>
      </w:r>
    </w:p>
    <w:p w14:paraId="2498E918">
      <w:pPr>
        <w:spacing w:line="360" w:lineRule="auto"/>
        <w:ind w:firstLine="280" w:firstLineChars="100"/>
        <w:rPr>
          <w:rFonts w:hint="eastAsia" w:ascii="方正仿宋_GBK" w:hAnsi="宋体" w:eastAsia="方正仿宋_GBK" w:cs="宋体"/>
          <w:sz w:val="28"/>
          <w:szCs w:val="28"/>
        </w:rPr>
      </w:pPr>
      <w:r>
        <w:rPr>
          <w:rFonts w:hint="eastAsia" w:ascii="方正仿宋_GBK" w:hAnsi="宋体" w:eastAsia="方正仿宋_GBK" w:cs="宋体"/>
          <w:sz w:val="28"/>
          <w:szCs w:val="28"/>
        </w:rPr>
        <w:t>3.3、优化黑名单机制，在车载机打黑卡片后同步上传打黑记录，以便后续黑名单不会持续扩大，能有效减少黑名单存放空间。</w:t>
      </w:r>
    </w:p>
    <w:p w14:paraId="269B3975">
      <w:pPr>
        <w:spacing w:line="360" w:lineRule="auto"/>
        <w:ind w:firstLine="280" w:firstLineChars="100"/>
        <w:rPr>
          <w:rFonts w:hint="eastAsia" w:ascii="方正仿宋_GBK" w:hAnsi="宋体" w:eastAsia="方正仿宋_GBK" w:cs="宋体"/>
          <w:sz w:val="28"/>
          <w:szCs w:val="28"/>
        </w:rPr>
      </w:pPr>
      <w:r>
        <w:rPr>
          <w:rFonts w:hint="eastAsia" w:ascii="方正仿宋_GBK" w:hAnsi="宋体" w:eastAsia="方正仿宋_GBK" w:cs="宋体"/>
          <w:sz w:val="28"/>
          <w:szCs w:val="28"/>
        </w:rPr>
        <w:t>3.4、车载机刷卡感应距离为0～10cm；扬州市民卡用户卡以任何角度进入车载机感应区，以正面或反面贴近车载机，均可完成正常正确操作；</w:t>
      </w:r>
    </w:p>
    <w:p w14:paraId="4AC514D9">
      <w:pPr>
        <w:spacing w:line="360" w:lineRule="auto"/>
        <w:ind w:firstLine="280" w:firstLineChars="100"/>
        <w:rPr>
          <w:rFonts w:hint="eastAsia" w:ascii="方正仿宋_GBK" w:hAnsi="宋体" w:eastAsia="方正仿宋_GBK" w:cs="宋体"/>
          <w:sz w:val="28"/>
          <w:szCs w:val="28"/>
        </w:rPr>
      </w:pPr>
      <w:r>
        <w:rPr>
          <w:rFonts w:hint="eastAsia" w:ascii="方正仿宋_GBK" w:hAnsi="宋体" w:eastAsia="方正仿宋_GBK" w:cs="宋体"/>
          <w:sz w:val="28"/>
          <w:szCs w:val="28"/>
        </w:rPr>
        <w:t>3.5、车载机软件设计防抖动措施，乘客特别是老年人持市民卡刷卡在刷卡区短时抖动，不会造成重复扣款；</w:t>
      </w:r>
    </w:p>
    <w:p w14:paraId="179BAF02">
      <w:pPr>
        <w:spacing w:line="360" w:lineRule="auto"/>
        <w:ind w:firstLine="280" w:firstLineChars="100"/>
        <w:rPr>
          <w:rFonts w:hint="eastAsia" w:ascii="方正仿宋_GBK" w:hAnsi="宋体" w:eastAsia="方正仿宋_GBK" w:cs="宋体"/>
          <w:sz w:val="28"/>
          <w:szCs w:val="28"/>
        </w:rPr>
      </w:pPr>
      <w:r>
        <w:rPr>
          <w:rFonts w:hint="eastAsia" w:ascii="方正仿宋_GBK" w:hAnsi="宋体" w:eastAsia="方正仿宋_GBK" w:cs="宋体"/>
          <w:sz w:val="28"/>
          <w:szCs w:val="28"/>
        </w:rPr>
        <w:t>3.6、车载终端机程序的升级改造通过无线方式实现程序下载，也可以使用程序专用机实现，一般40秒钟内可方便快速地完成车载终端机的程序升级更改</w:t>
      </w:r>
    </w:p>
    <w:p w14:paraId="24BDB580">
      <w:pPr>
        <w:spacing w:line="360" w:lineRule="auto"/>
        <w:ind w:firstLine="280" w:firstLineChars="100"/>
        <w:rPr>
          <w:rFonts w:hint="eastAsia" w:ascii="方正仿宋_GBK" w:hAnsi="宋体" w:eastAsia="方正仿宋_GBK" w:cs="宋体"/>
          <w:sz w:val="28"/>
          <w:szCs w:val="28"/>
        </w:rPr>
      </w:pPr>
      <w:r>
        <w:rPr>
          <w:rFonts w:hint="eastAsia" w:ascii="方正仿宋_GBK" w:hAnsi="宋体" w:eastAsia="方正仿宋_GBK" w:cs="宋体"/>
          <w:sz w:val="28"/>
          <w:szCs w:val="28"/>
        </w:rPr>
        <w:t>3.7、保证与原有车载终端机的配套设备互相兼容，数据采集至少有两种方式，自动采集方式（4G通讯模块形式）和手动人工采集（高速红外数据或U盘采集）。</w:t>
      </w:r>
    </w:p>
    <w:p w14:paraId="365B45FE">
      <w:pPr>
        <w:spacing w:line="360" w:lineRule="auto"/>
        <w:ind w:firstLine="280" w:firstLineChars="100"/>
        <w:rPr>
          <w:rFonts w:hint="eastAsia" w:ascii="方正仿宋_GBK" w:hAnsi="宋体" w:eastAsia="方正仿宋_GBK" w:cs="宋体"/>
          <w:sz w:val="28"/>
          <w:szCs w:val="28"/>
        </w:rPr>
      </w:pPr>
      <w:r>
        <w:rPr>
          <w:rFonts w:hint="eastAsia" w:ascii="方正仿宋_GBK" w:hAnsi="宋体" w:eastAsia="方正仿宋_GBK" w:cs="宋体"/>
          <w:sz w:val="28"/>
          <w:szCs w:val="28"/>
        </w:rPr>
        <w:t>3.8、必须完全兼容扬州市民卡公交IC卡收费管理系统已经发行的所有卡种，包含但不限于买方自行发行的卡片、扬州市民卡发行的卡片以及银联卡、本地乘车码扫码，交通部规范互通卡，保证系统的平稳运行。</w:t>
      </w:r>
    </w:p>
    <w:p w14:paraId="2C4C00FA">
      <w:pPr>
        <w:spacing w:line="360" w:lineRule="auto"/>
        <w:ind w:firstLine="280" w:firstLineChars="100"/>
        <w:rPr>
          <w:rFonts w:hint="eastAsia" w:ascii="方正仿宋_GBK" w:hAnsi="宋体" w:eastAsia="方正仿宋_GBK" w:cs="宋体"/>
          <w:sz w:val="28"/>
          <w:szCs w:val="28"/>
        </w:rPr>
      </w:pPr>
      <w:r>
        <w:rPr>
          <w:rFonts w:hint="eastAsia" w:ascii="方正仿宋_GBK" w:hAnsi="宋体" w:eastAsia="方正仿宋_GBK" w:cs="宋体"/>
          <w:sz w:val="28"/>
          <w:szCs w:val="28"/>
        </w:rPr>
        <w:t>3.9、车载机能够接受扬州市民卡的现行的密钥下载方式下载密钥。</w:t>
      </w:r>
    </w:p>
    <w:p w14:paraId="0095F039">
      <w:pPr>
        <w:spacing w:line="360" w:lineRule="auto"/>
        <w:ind w:firstLine="280" w:firstLineChars="100"/>
        <w:rPr>
          <w:rFonts w:hint="eastAsia" w:ascii="方正仿宋_GBK" w:hAnsi="宋体" w:eastAsia="方正仿宋_GBK" w:cs="宋体"/>
          <w:sz w:val="28"/>
          <w:szCs w:val="28"/>
        </w:rPr>
      </w:pPr>
      <w:r>
        <w:rPr>
          <w:rFonts w:hint="eastAsia" w:ascii="方正仿宋_GBK" w:hAnsi="宋体" w:eastAsia="方正仿宋_GBK" w:cs="宋体"/>
          <w:sz w:val="28"/>
          <w:szCs w:val="28"/>
        </w:rPr>
        <w:t>3.10、升级后车载机内嵌入式程序功能必须兼容扬州市民卡的现运行车载机一切使用功能，不影响正常使用。</w:t>
      </w:r>
    </w:p>
    <w:p w14:paraId="2D61A2FC">
      <w:pPr>
        <w:spacing w:line="360" w:lineRule="auto"/>
        <w:ind w:firstLine="280" w:firstLineChars="100"/>
        <w:rPr>
          <w:rFonts w:hint="eastAsia" w:ascii="方正仿宋_GBK" w:hAnsi="宋体" w:eastAsia="方正仿宋_GBK" w:cs="宋体"/>
          <w:sz w:val="28"/>
          <w:szCs w:val="28"/>
        </w:rPr>
      </w:pPr>
      <w:r>
        <w:rPr>
          <w:rFonts w:hint="eastAsia" w:ascii="方正仿宋_GBK" w:hAnsi="宋体" w:eastAsia="方正仿宋_GBK" w:cs="宋体"/>
          <w:sz w:val="28"/>
          <w:szCs w:val="28"/>
        </w:rPr>
        <w:t>3.11、如遇扩展功能或者完善车载机嵌入式程序，程序升级须保持一致。</w:t>
      </w:r>
    </w:p>
    <w:p w14:paraId="22C2F65C">
      <w:pPr>
        <w:spacing w:line="360" w:lineRule="auto"/>
        <w:ind w:firstLine="280" w:firstLineChars="100"/>
        <w:rPr>
          <w:rFonts w:hint="eastAsia" w:ascii="方正仿宋_GBK" w:hAnsi="宋体" w:eastAsia="方正仿宋_GBK" w:cs="宋体"/>
          <w:sz w:val="28"/>
          <w:szCs w:val="28"/>
        </w:rPr>
      </w:pPr>
      <w:r>
        <w:rPr>
          <w:rFonts w:hint="eastAsia" w:ascii="方正仿宋_GBK" w:hAnsi="宋体" w:eastAsia="方正仿宋_GBK" w:cs="宋体"/>
          <w:sz w:val="28"/>
          <w:szCs w:val="28"/>
        </w:rPr>
        <w:t>3.12、升级后车载机对刷卡的敏感数据依旧采用加密处理，可有效防止人为的篡改和伪造；</w:t>
      </w:r>
    </w:p>
    <w:p w14:paraId="42C2D0E9">
      <w:pPr>
        <w:spacing w:line="360" w:lineRule="auto"/>
        <w:ind w:firstLine="280" w:firstLineChars="100"/>
        <w:rPr>
          <w:rFonts w:hint="eastAsia" w:ascii="方正仿宋_GBK" w:hAnsi="宋体" w:eastAsia="方正仿宋_GBK" w:cs="宋体"/>
          <w:sz w:val="28"/>
          <w:szCs w:val="28"/>
        </w:rPr>
      </w:pPr>
      <w:r>
        <w:rPr>
          <w:rFonts w:hint="eastAsia" w:ascii="方正仿宋_GBK" w:hAnsi="宋体" w:eastAsia="方正仿宋_GBK" w:cs="宋体"/>
          <w:sz w:val="28"/>
          <w:szCs w:val="28"/>
        </w:rPr>
        <w:t>3.13、车载机对刷卡过快扣款未完成的，除提醒乘客重新刷卡外，会记录相关信息，为今后清算系统平帐处理提供参考数据。</w:t>
      </w:r>
    </w:p>
    <w:p w14:paraId="29E18E02">
      <w:pPr>
        <w:spacing w:line="360" w:lineRule="auto"/>
        <w:ind w:firstLine="281" w:firstLineChars="100"/>
        <w:rPr>
          <w:rFonts w:hint="eastAsia" w:ascii="方正仿宋_GBK" w:hAnsi="宋体" w:eastAsia="方正仿宋_GBK" w:cs="宋体"/>
          <w:b/>
          <w:sz w:val="28"/>
          <w:szCs w:val="28"/>
        </w:rPr>
      </w:pPr>
      <w:r>
        <w:rPr>
          <w:rFonts w:hint="eastAsia" w:ascii="方正仿宋_GBK" w:hAnsi="宋体" w:eastAsia="方正仿宋_GBK" w:cs="宋体"/>
          <w:b/>
          <w:sz w:val="28"/>
          <w:szCs w:val="28"/>
        </w:rPr>
        <w:t>4、入网测试</w:t>
      </w:r>
    </w:p>
    <w:p w14:paraId="1956A463">
      <w:pPr>
        <w:spacing w:line="360" w:lineRule="auto"/>
        <w:ind w:firstLine="280" w:firstLineChars="100"/>
        <w:rPr>
          <w:rFonts w:hint="eastAsia" w:ascii="方正仿宋_GBK" w:hAnsi="宋体" w:eastAsia="方正仿宋_GBK" w:cs="宋体"/>
          <w:sz w:val="28"/>
          <w:szCs w:val="28"/>
        </w:rPr>
      </w:pPr>
      <w:r>
        <w:rPr>
          <w:rFonts w:hint="eastAsia" w:ascii="方正仿宋_GBK" w:hAnsi="宋体" w:eastAsia="方正仿宋_GBK" w:cs="宋体"/>
          <w:sz w:val="28"/>
          <w:szCs w:val="28"/>
        </w:rPr>
        <w:t>相关软件及配套系统完成开发后按照江苏省交通运输厅的要求进行入网测试，直至符合省厅上线标准。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经典仿宋简">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IzYTNlZTVkNGM0ZWQwOGI5ZjE2MGNhYWFkNmNlYWYifQ=="/>
    <w:docVar w:name="KSO_WPS_MARK_KEY" w:val="64e567af-1ce4-4071-8d39-46f362af37bf"/>
  </w:docVars>
  <w:rsids>
    <w:rsidRoot w:val="002F48CB"/>
    <w:rsid w:val="000174CE"/>
    <w:rsid w:val="0006478D"/>
    <w:rsid w:val="000B289F"/>
    <w:rsid w:val="000B424D"/>
    <w:rsid w:val="000C78F1"/>
    <w:rsid w:val="0012187B"/>
    <w:rsid w:val="002B57C4"/>
    <w:rsid w:val="002E5811"/>
    <w:rsid w:val="002F48CB"/>
    <w:rsid w:val="00491125"/>
    <w:rsid w:val="004B378C"/>
    <w:rsid w:val="004D4836"/>
    <w:rsid w:val="004F3A8F"/>
    <w:rsid w:val="00595868"/>
    <w:rsid w:val="006171A4"/>
    <w:rsid w:val="00642F2C"/>
    <w:rsid w:val="00702E7E"/>
    <w:rsid w:val="0071376F"/>
    <w:rsid w:val="008359BE"/>
    <w:rsid w:val="00895139"/>
    <w:rsid w:val="00895733"/>
    <w:rsid w:val="008E7C9F"/>
    <w:rsid w:val="009176F7"/>
    <w:rsid w:val="009E24AB"/>
    <w:rsid w:val="00A41567"/>
    <w:rsid w:val="00A62EBD"/>
    <w:rsid w:val="00A7406C"/>
    <w:rsid w:val="00AE7145"/>
    <w:rsid w:val="00B04458"/>
    <w:rsid w:val="00B30E08"/>
    <w:rsid w:val="00B7239D"/>
    <w:rsid w:val="00E86708"/>
    <w:rsid w:val="1F462A46"/>
    <w:rsid w:val="57CC67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1"/>
    <w:qFormat/>
    <w:uiPriority w:val="9"/>
    <w:pPr>
      <w:keepNext/>
      <w:keepLines/>
      <w:spacing w:before="340" w:after="330" w:line="578" w:lineRule="auto"/>
      <w:outlineLvl w:val="0"/>
    </w:pPr>
    <w:rPr>
      <w:b/>
      <w:bCs/>
      <w:kern w:val="44"/>
      <w:sz w:val="44"/>
      <w:szCs w:val="44"/>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Balloon Text"/>
    <w:basedOn w:val="1"/>
    <w:link w:val="12"/>
    <w:semiHidden/>
    <w:unhideWhenUsed/>
    <w:uiPriority w:val="99"/>
    <w:rPr>
      <w:sz w:val="18"/>
      <w:szCs w:val="18"/>
    </w:rPr>
  </w:style>
  <w:style w:type="paragraph" w:styleId="4">
    <w:name w:val="footer"/>
    <w:basedOn w:val="1"/>
    <w:link w:val="14"/>
    <w:unhideWhenUsed/>
    <w:uiPriority w:val="99"/>
    <w:pPr>
      <w:tabs>
        <w:tab w:val="center" w:pos="4153"/>
        <w:tab w:val="right" w:pos="8306"/>
      </w:tabs>
      <w:snapToGrid w:val="0"/>
      <w:jc w:val="left"/>
    </w:pPr>
    <w:rPr>
      <w:sz w:val="18"/>
      <w:szCs w:val="18"/>
    </w:rPr>
  </w:style>
  <w:style w:type="paragraph" w:styleId="5">
    <w:name w:val="header"/>
    <w:basedOn w:val="1"/>
    <w:link w:val="13"/>
    <w:unhideWhenUsed/>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22"/>
    <w:rPr>
      <w:b/>
      <w:bCs/>
    </w:rPr>
  </w:style>
  <w:style w:type="paragraph" w:styleId="10">
    <w:name w:val="List Paragraph"/>
    <w:basedOn w:val="1"/>
    <w:qFormat/>
    <w:uiPriority w:val="34"/>
    <w:pPr>
      <w:ind w:firstLine="420" w:firstLineChars="200"/>
    </w:pPr>
  </w:style>
  <w:style w:type="character" w:customStyle="1" w:styleId="11">
    <w:name w:val="标题 1 Char"/>
    <w:basedOn w:val="8"/>
    <w:link w:val="2"/>
    <w:uiPriority w:val="9"/>
    <w:rPr>
      <w:b/>
      <w:bCs/>
      <w:kern w:val="44"/>
      <w:sz w:val="44"/>
      <w:szCs w:val="44"/>
    </w:rPr>
  </w:style>
  <w:style w:type="character" w:customStyle="1" w:styleId="12">
    <w:name w:val="批注框文本 Char"/>
    <w:basedOn w:val="8"/>
    <w:link w:val="3"/>
    <w:semiHidden/>
    <w:uiPriority w:val="99"/>
    <w:rPr>
      <w:sz w:val="18"/>
      <w:szCs w:val="18"/>
    </w:rPr>
  </w:style>
  <w:style w:type="character" w:customStyle="1" w:styleId="13">
    <w:name w:val="页眉 Char"/>
    <w:basedOn w:val="8"/>
    <w:link w:val="5"/>
    <w:uiPriority w:val="99"/>
    <w:rPr>
      <w:kern w:val="2"/>
      <w:sz w:val="18"/>
      <w:szCs w:val="18"/>
    </w:rPr>
  </w:style>
  <w:style w:type="character" w:customStyle="1" w:styleId="14">
    <w:name w:val="页脚 Char"/>
    <w:basedOn w:val="8"/>
    <w:link w:val="4"/>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2740</Words>
  <Characters>2831</Characters>
  <Lines>20</Lines>
  <Paragraphs>5</Paragraphs>
  <TotalTime>1</TotalTime>
  <ScaleCrop>false</ScaleCrop>
  <LinksUpToDate>false</LinksUpToDate>
  <CharactersWithSpaces>2834</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2024-08-21T04:02:00Z</dcterms:created>
  <dc:creator>Andy</dc:creator>
  <cp:lastModifiedBy>唐磊</cp:lastModifiedBy>
  <dcterms:modified xsi:type="dcterms:W3CDTF">2024-09-06T03:46:05Z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803D06697E5E42248F25093510F7C3C4_13</vt:lpwstr>
  </property>
</Properties>
</file>